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gliatabella"/>
        <w:tblW w:w="9628" w:type="dxa"/>
        <w:jc w:val="left"/>
        <w:tblInd w:w="-5" w:type="dxa"/>
        <w:tblCellMar>
          <w:top w:w="0" w:type="dxa"/>
          <w:left w:w="103" w:type="dxa"/>
          <w:bottom w:w="0" w:type="dxa"/>
          <w:right w:w="108" w:type="dxa"/>
        </w:tblCellMar>
        <w:tblLook w:firstRow="1" w:noVBand="1" w:lastRow="0" w:firstColumn="1" w:lastColumn="0" w:noHBand="0" w:val="04a0"/>
      </w:tblPr>
      <w:tblGrid>
        <w:gridCol w:w="664"/>
        <w:gridCol w:w="4567"/>
        <w:gridCol w:w="3734"/>
        <w:gridCol w:w="662"/>
      </w:tblGrid>
      <w:tr>
        <w:trPr/>
        <w:tc>
          <w:tcPr>
            <w:tcW w:w="9627" w:type="dxa"/>
            <w:gridSpan w:val="4"/>
            <w:tcBorders/>
            <w:shd w:color="auto" w:fill="DBE5F1" w:themeFill="accent1" w:themeFillTint="33" w:val="clear"/>
            <w:tcMar>
              <w:left w:w="103" w:type="dxa"/>
            </w:tcMar>
          </w:tcPr>
          <w:p>
            <w:pPr>
              <w:pStyle w:val="Normal"/>
              <w:spacing w:lineRule="auto" w:line="240" w:before="0" w:after="0"/>
              <w:jc w:val="center"/>
              <w:rPr/>
            </w:pPr>
            <w:r>
              <w:rPr>
                <w:b/>
              </w:rPr>
              <w:t>05 marzo 2018</w:t>
            </w:r>
          </w:p>
        </w:tc>
      </w:tr>
      <w:tr>
        <w:trPr/>
        <w:tc>
          <w:tcPr>
            <w:tcW w:w="9627" w:type="dxa"/>
            <w:gridSpan w:val="4"/>
            <w:tcBorders/>
            <w:shd w:color="auto" w:fill="FFFF00" w:val="clear"/>
            <w:tcMar>
              <w:left w:w="103" w:type="dxa"/>
            </w:tcMar>
          </w:tcPr>
          <w:p>
            <w:pPr>
              <w:pStyle w:val="Normal"/>
              <w:spacing w:lineRule="auto" w:line="240" w:before="0" w:after="0"/>
              <w:jc w:val="center"/>
              <w:rPr>
                <w:b/>
                <w:b/>
              </w:rPr>
            </w:pPr>
            <w:r>
              <w:rPr>
                <w:b/>
              </w:rPr>
            </w:r>
          </w:p>
          <w:p>
            <w:pPr>
              <w:pStyle w:val="Normal"/>
              <w:spacing w:lineRule="auto" w:line="240" w:before="0" w:after="0"/>
              <w:jc w:val="center"/>
              <w:rPr>
                <w:b/>
                <w:b/>
                <w:sz w:val="28"/>
                <w:szCs w:val="28"/>
              </w:rPr>
            </w:pPr>
            <w:r>
              <w:rPr>
                <w:b/>
                <w:sz w:val="28"/>
                <w:szCs w:val="28"/>
              </w:rPr>
              <w:t xml:space="preserve">FAQ </w:t>
            </w:r>
          </w:p>
          <w:p>
            <w:pPr>
              <w:pStyle w:val="Normal"/>
              <w:spacing w:lineRule="auto" w:line="240" w:before="0" w:after="0"/>
              <w:jc w:val="both"/>
              <w:rPr>
                <w:rFonts w:ascii="Times New Roman" w:hAnsi="Times New Roman"/>
              </w:rPr>
            </w:pPr>
            <w:r>
              <w:rPr>
                <w:rFonts w:ascii="Times New Roman" w:hAnsi="Times New Roman"/>
                <w:b/>
              </w:rPr>
              <w:t>Avviso Pubblico PER LA SELEZIONE DI N. 10 ESPERTI PER LE ATTIVITA’ DI MONITORAGGIO CON RILEVAMENTO IN CAMPO NEI SITI DELLA RETE  NATURA 2000 IN CALABRIA</w:t>
            </w:r>
          </w:p>
          <w:p>
            <w:pPr>
              <w:pStyle w:val="Normal"/>
              <w:spacing w:lineRule="auto" w:line="240" w:before="0" w:after="0"/>
              <w:jc w:val="center"/>
              <w:rPr>
                <w:b/>
                <w:b/>
              </w:rPr>
            </w:pPr>
            <w:r>
              <w:rPr>
                <w:b/>
              </w:rPr>
            </w:r>
          </w:p>
        </w:tc>
      </w:tr>
      <w:tr>
        <w:trPr/>
        <w:tc>
          <w:tcPr>
            <w:tcW w:w="664" w:type="dxa"/>
            <w:tcBorders/>
            <w:shd w:color="auto" w:fill="DBE5F1" w:themeFill="accent1" w:themeFillTint="33" w:val="clear"/>
            <w:tcMar>
              <w:left w:w="103" w:type="dxa"/>
            </w:tcMar>
          </w:tcPr>
          <w:p>
            <w:pPr>
              <w:pStyle w:val="Normal"/>
              <w:spacing w:lineRule="auto" w:line="240" w:before="0" w:after="0"/>
              <w:jc w:val="center"/>
              <w:rPr>
                <w:b/>
                <w:b/>
              </w:rPr>
            </w:pPr>
            <w:r>
              <w:rPr>
                <w:b/>
              </w:rPr>
            </w:r>
          </w:p>
          <w:p>
            <w:pPr>
              <w:pStyle w:val="Normal"/>
              <w:spacing w:lineRule="auto" w:line="240" w:before="0" w:after="0"/>
              <w:jc w:val="center"/>
              <w:rPr>
                <w:b/>
                <w:b/>
              </w:rPr>
            </w:pPr>
            <w:r>
              <w:rPr>
                <w:b/>
              </w:rPr>
              <w:t>n.</w:t>
            </w:r>
          </w:p>
        </w:tc>
        <w:tc>
          <w:tcPr>
            <w:tcW w:w="4567" w:type="dxa"/>
            <w:tcBorders/>
            <w:shd w:color="auto" w:fill="DBE5F1" w:themeFill="accent1" w:themeFillTint="33" w:val="clear"/>
            <w:tcMar>
              <w:left w:w="103" w:type="dxa"/>
            </w:tcMar>
          </w:tcPr>
          <w:p>
            <w:pPr>
              <w:pStyle w:val="Normal"/>
              <w:spacing w:lineRule="auto" w:line="240" w:before="0" w:after="0"/>
              <w:jc w:val="center"/>
              <w:rPr>
                <w:b/>
                <w:b/>
              </w:rPr>
            </w:pPr>
            <w:r>
              <w:rPr>
                <w:b/>
              </w:rPr>
            </w:r>
          </w:p>
          <w:p>
            <w:pPr>
              <w:pStyle w:val="Normal"/>
              <w:spacing w:lineRule="auto" w:line="240" w:before="0" w:after="0"/>
              <w:jc w:val="center"/>
              <w:rPr>
                <w:b/>
                <w:b/>
              </w:rPr>
            </w:pPr>
            <w:r>
              <w:rPr>
                <w:b/>
              </w:rPr>
              <w:t>QUESITI</w:t>
            </w:r>
          </w:p>
          <w:p>
            <w:pPr>
              <w:pStyle w:val="Normal"/>
              <w:spacing w:lineRule="auto" w:line="240" w:before="0" w:after="0"/>
              <w:jc w:val="center"/>
              <w:rPr>
                <w:b/>
                <w:b/>
              </w:rPr>
            </w:pPr>
            <w:r>
              <w:rPr>
                <w:b/>
              </w:rPr>
            </w:r>
          </w:p>
          <w:p>
            <w:pPr>
              <w:pStyle w:val="Normal"/>
              <w:spacing w:lineRule="auto" w:line="240" w:before="0" w:after="0"/>
              <w:jc w:val="center"/>
              <w:rPr>
                <w:b/>
                <w:b/>
              </w:rPr>
            </w:pPr>
            <w:r>
              <w:rPr>
                <w:b/>
              </w:rPr>
            </w:r>
          </w:p>
        </w:tc>
        <w:tc>
          <w:tcPr>
            <w:tcW w:w="4396" w:type="dxa"/>
            <w:gridSpan w:val="2"/>
            <w:tcBorders/>
            <w:shd w:color="auto" w:fill="DBE5F1" w:themeFill="accent1" w:themeFillTint="33" w:val="clear"/>
            <w:tcMar>
              <w:left w:w="103" w:type="dxa"/>
            </w:tcMar>
          </w:tcPr>
          <w:p>
            <w:pPr>
              <w:pStyle w:val="Normal"/>
              <w:spacing w:lineRule="auto" w:line="240" w:before="0" w:after="0"/>
              <w:jc w:val="center"/>
              <w:rPr>
                <w:b/>
                <w:b/>
              </w:rPr>
            </w:pPr>
            <w:r>
              <w:rPr>
                <w:b/>
              </w:rPr>
            </w:r>
          </w:p>
          <w:p>
            <w:pPr>
              <w:pStyle w:val="Normal"/>
              <w:spacing w:lineRule="auto" w:line="240" w:before="0" w:after="0"/>
              <w:jc w:val="center"/>
              <w:rPr>
                <w:b/>
                <w:b/>
              </w:rPr>
            </w:pPr>
            <w:r>
              <w:rPr>
                <w:b/>
              </w:rPr>
              <w:t>RISPOSTE</w:t>
            </w:r>
          </w:p>
        </w:tc>
      </w:tr>
      <w:tr>
        <w:trPr/>
        <w:tc>
          <w:tcPr>
            <w:tcW w:w="664" w:type="dxa"/>
            <w:tcBorders/>
            <w:shd w:fill="auto" w:val="clear"/>
            <w:tcMar>
              <w:left w:w="103" w:type="dxa"/>
            </w:tcMar>
          </w:tcPr>
          <w:p>
            <w:pPr>
              <w:pStyle w:val="ListParagraph"/>
              <w:numPr>
                <w:ilvl w:val="0"/>
                <w:numId w:val="1"/>
              </w:numPr>
              <w:spacing w:lineRule="auto" w:line="240" w:before="0" w:after="0"/>
              <w:ind w:left="284" w:hanging="284"/>
              <w:contextualSpacing/>
              <w:rPr>
                <w:u w:val="single"/>
              </w:rPr>
            </w:pPr>
            <w:r>
              <w:rPr>
                <w:u w:val="single"/>
              </w:rPr>
            </w:r>
          </w:p>
        </w:tc>
        <w:tc>
          <w:tcPr>
            <w:tcW w:w="4567" w:type="dxa"/>
            <w:tcBorders/>
            <w:shd w:fill="auto" w:val="clear"/>
            <w:tcMar>
              <w:left w:w="103" w:type="dxa"/>
            </w:tcMar>
          </w:tcPr>
          <w:p>
            <w:pPr>
              <w:pStyle w:val="Normal"/>
              <w:spacing w:before="0" w:after="0"/>
              <w:rPr/>
            </w:pPr>
            <w:r>
              <w:rPr>
                <w:b/>
                <w:u w:val="single"/>
              </w:rPr>
              <w:t>Privato</w:t>
            </w:r>
            <w:r>
              <w:rPr>
                <w:u w:val="single"/>
              </w:rPr>
              <w:t>: inviata per e -mail il 05 MARZO 2018</w:t>
            </w:r>
          </w:p>
          <w:p>
            <w:pPr>
              <w:pStyle w:val="Normal"/>
              <w:spacing w:before="0" w:after="0"/>
              <w:rPr>
                <w:rFonts w:ascii="Arial" w:hAnsi="Arial" w:cs="Arial"/>
                <w:color w:val="000000"/>
                <w:sz w:val="20"/>
                <w:szCs w:val="20"/>
                <w:shd w:fill="FFFFFF" w:val="clear"/>
              </w:rPr>
            </w:pPr>
            <w:r>
              <w:rPr>
                <w:rFonts w:cs="Arial" w:ascii="Arial" w:hAnsi="Arial"/>
                <w:color w:val="000000"/>
                <w:sz w:val="20"/>
                <w:szCs w:val="20"/>
                <w:shd w:fill="FFFFFF" w:val="clear"/>
              </w:rPr>
            </w:r>
          </w:p>
          <w:p>
            <w:pPr>
              <w:pStyle w:val="NormalWeb"/>
              <w:shd w:val="clear" w:color="auto" w:fill="FFFFFF"/>
              <w:spacing w:beforeAutospacing="0" w:before="0" w:afterAutospacing="0" w:after="0"/>
              <w:jc w:val="both"/>
              <w:rPr/>
            </w:pPr>
            <w:r>
              <w:rPr>
                <w:rFonts w:cs="Calibri" w:ascii="Calibri" w:hAnsi="Calibri"/>
                <w:i/>
                <w:color w:val="000000"/>
              </w:rPr>
              <w:t>…</w:t>
            </w:r>
            <w:r>
              <w:rPr>
                <w:rFonts w:cs="Calibri" w:ascii="Calibri" w:hAnsi="Calibri"/>
                <w:i/>
                <w:color w:val="000000"/>
              </w:rPr>
              <w:t>..“In riferimento all’Avviso indicato in oggetto, la presente per chiedere un chiarimento riguardo le modalità di registrazione alla Banca Dati. L’art. 4, comma 3, lett. a), specifica di selezionare l’area professionale “Monitoraggio dei Programmi e dei Progetti” ed almeno uno dei seguenti “Ambiti professionali”: “Analisi degli ambiti di interesse ambiente” o, “Tutela, conservazione e salvaguardia della biodiversità”, operazione non possibile in quanto una volta selezionata l’area Monitoraggio dei Programmi e dei Progetti non è possibile effettuare ulteriori scelte come indicato.</w:t>
            </w:r>
          </w:p>
          <w:p>
            <w:pPr>
              <w:pStyle w:val="NormalWeb"/>
              <w:shd w:val="clear" w:color="auto" w:fill="FFFFFF"/>
              <w:spacing w:beforeAutospacing="0" w:before="0" w:afterAutospacing="0" w:after="0"/>
              <w:jc w:val="both"/>
              <w:rPr>
                <w:rFonts w:ascii="Calibri" w:hAnsi="Calibri"/>
                <w:sz w:val="24"/>
                <w:szCs w:val="24"/>
                <w:u w:val="none"/>
              </w:rPr>
            </w:pPr>
            <w:r>
              <w:rPr>
                <w:rFonts w:ascii="Calibri" w:hAnsi="Calibri"/>
                <w:sz w:val="24"/>
                <w:szCs w:val="24"/>
                <w:u w:val="none"/>
              </w:rPr>
              <w:t xml:space="preserve">Si segnala inoltre, che nella scheda n. 5 della stessa Banca Dati, L’Esperienza professionale- </w:t>
            </w:r>
            <w:bookmarkStart w:id="0" w:name="__DdeLink__103_4179780928"/>
            <w:r>
              <w:rPr>
                <w:rFonts w:ascii="Calibri" w:hAnsi="Calibri"/>
                <w:sz w:val="24"/>
                <w:szCs w:val="24"/>
                <w:u w:val="none"/>
              </w:rPr>
              <w:t>Studi, lavori e/o attività didattica sulla gestione e tutela della biodiversità in aree di interesse naturalistico”</w:t>
            </w:r>
            <w:bookmarkEnd w:id="0"/>
            <w:r>
              <w:rPr>
                <w:rFonts w:ascii="Calibri" w:hAnsi="Calibri"/>
                <w:sz w:val="24"/>
                <w:szCs w:val="24"/>
                <w:u w:val="none"/>
              </w:rPr>
              <w:t xml:space="preserve"> ha codice 305 anziché 159 come riportato nell’Avviso……..</w:t>
            </w:r>
          </w:p>
          <w:p>
            <w:pPr>
              <w:pStyle w:val="Normal"/>
              <w:spacing w:before="0" w:after="0"/>
              <w:rPr>
                <w:rFonts w:ascii="Calibri" w:hAnsi="Calibri"/>
                <w:sz w:val="24"/>
                <w:szCs w:val="24"/>
                <w:u w:val="none"/>
              </w:rPr>
            </w:pPr>
            <w:r>
              <w:rPr>
                <w:sz w:val="24"/>
                <w:szCs w:val="24"/>
                <w:u w:val="none"/>
              </w:rPr>
            </w:r>
          </w:p>
          <w:p>
            <w:pPr>
              <w:pStyle w:val="Normal"/>
              <w:spacing w:before="0" w:after="0"/>
              <w:rPr>
                <w:u w:val="single"/>
              </w:rPr>
            </w:pPr>
            <w:r>
              <w:rPr>
                <w:u w:val="single"/>
              </w:rPr>
            </w:r>
          </w:p>
          <w:p>
            <w:pPr>
              <w:pStyle w:val="Normal"/>
              <w:spacing w:before="0" w:after="0"/>
              <w:rPr>
                <w:b/>
                <w:b/>
                <w:u w:val="single"/>
              </w:rPr>
            </w:pPr>
            <w:r>
              <w:rPr>
                <w:b/>
                <w:u w:val="single"/>
              </w:rPr>
            </w:r>
          </w:p>
        </w:tc>
        <w:tc>
          <w:tcPr>
            <w:tcW w:w="4396" w:type="dxa"/>
            <w:gridSpan w:val="2"/>
            <w:tcBorders/>
            <w:shd w:fill="auto" w:val="clear"/>
            <w:tcMar>
              <w:left w:w="103" w:type="dxa"/>
            </w:tcMar>
          </w:tcPr>
          <w:p>
            <w:pPr>
              <w:pStyle w:val="Normal"/>
              <w:spacing w:lineRule="auto" w:line="240" w:before="0" w:after="0"/>
              <w:rPr>
                <w:rFonts w:cs="Calibri" w:cstheme="minorHAnsi"/>
                <w:color w:val="000000"/>
                <w:shd w:fill="FFFFFF" w:val="clear"/>
              </w:rPr>
            </w:pPr>
            <w:r>
              <w:rPr>
                <w:rFonts w:cs="Calibri" w:cstheme="minorHAnsi"/>
                <w:color w:val="000000"/>
                <w:shd w:fill="FFFFFF" w:val="clear"/>
              </w:rPr>
            </w:r>
          </w:p>
          <w:p>
            <w:pPr>
              <w:pStyle w:val="Normal"/>
              <w:spacing w:lineRule="auto" w:line="240" w:before="0" w:after="0"/>
              <w:rPr>
                <w:rFonts w:cs="Calibri" w:cstheme="minorHAnsi"/>
                <w:color w:val="000000"/>
                <w:shd w:fill="FFFFFF" w:val="clear"/>
              </w:rPr>
            </w:pPr>
            <w:r>
              <w:rPr>
                <w:rFonts w:cs="Calibri" w:cstheme="minorHAnsi"/>
                <w:color w:val="000000"/>
                <w:shd w:fill="FFFFFF" w:val="clear"/>
              </w:rPr>
            </w:r>
          </w:p>
          <w:p>
            <w:pPr>
              <w:pStyle w:val="ListParagraph"/>
              <w:spacing w:lineRule="auto" w:line="240" w:before="0" w:after="0"/>
              <w:ind w:hanging="0"/>
              <w:contextualSpacing/>
              <w:jc w:val="both"/>
              <w:rPr/>
            </w:pPr>
            <w:r>
              <w:rPr>
                <w:rFonts w:cs="Calibri" w:cstheme="minorHAnsi"/>
              </w:rPr>
              <w:t>1) In riferimento al primo punto si precisa che in fase di registrazione in Banca Dati è sufficiente indicare almeno una tra le tre opzioni proposte e di seguito riportate:</w:t>
            </w:r>
          </w:p>
          <w:p>
            <w:pPr>
              <w:pStyle w:val="NormalWeb"/>
              <w:shd w:val="clear" w:color="auto" w:fill="FFFFFF"/>
              <w:spacing w:lineRule="auto" w:line="240" w:beforeAutospacing="0" w:before="0" w:afterAutospacing="0" w:after="0"/>
              <w:ind w:hanging="0"/>
              <w:jc w:val="both"/>
              <w:rPr/>
            </w:pPr>
            <w:r>
              <w:rPr>
                <w:rFonts w:cs="Calibri" w:ascii="Calibri" w:hAnsi="Calibri"/>
                <w:i/>
                <w:color w:val="000000"/>
              </w:rPr>
              <w:t xml:space="preserve">a) “Monitoraggio dei Programmi e dei Progetti” </w:t>
            </w:r>
          </w:p>
          <w:p>
            <w:pPr>
              <w:pStyle w:val="NormalWeb"/>
              <w:shd w:val="clear" w:color="auto" w:fill="FFFFFF"/>
              <w:spacing w:lineRule="auto" w:line="240" w:beforeAutospacing="0" w:before="0" w:afterAutospacing="0" w:after="0"/>
              <w:ind w:hanging="0"/>
              <w:jc w:val="both"/>
              <w:rPr/>
            </w:pPr>
            <w:r>
              <w:rPr>
                <w:rFonts w:cs="Calibri" w:ascii="Calibri" w:hAnsi="Calibri"/>
                <w:i/>
                <w:color w:val="000000"/>
              </w:rPr>
              <w:t xml:space="preserve">b) “Analisi degli ambiti di interesse ambiente” </w:t>
            </w:r>
          </w:p>
          <w:p>
            <w:pPr>
              <w:pStyle w:val="NormalWeb"/>
              <w:shd w:val="clear" w:color="auto" w:fill="FFFFFF"/>
              <w:spacing w:lineRule="auto" w:line="240" w:beforeAutospacing="0" w:before="0" w:afterAutospacing="0" w:after="0"/>
              <w:ind w:hanging="0"/>
              <w:jc w:val="both"/>
              <w:rPr/>
            </w:pPr>
            <w:r>
              <w:rPr>
                <w:rFonts w:cs="Calibri" w:ascii="Calibri" w:hAnsi="Calibri"/>
                <w:i/>
                <w:color w:val="000000"/>
              </w:rPr>
              <w:t>c) “Tutela, conservazione e salvaguardia della biodiversità”</w:t>
            </w:r>
          </w:p>
          <w:p>
            <w:pPr>
              <w:pStyle w:val="NormalWeb"/>
              <w:shd w:val="clear" w:color="auto" w:fill="FFFFFF"/>
              <w:spacing w:lineRule="auto" w:line="240" w:beforeAutospacing="0" w:before="0" w:afterAutospacing="0" w:after="0"/>
              <w:ind w:hanging="0"/>
              <w:jc w:val="both"/>
              <w:rPr/>
            </w:pPr>
            <w:r>
              <w:rPr>
                <w:rFonts w:cs="Calibri" w:ascii="Calibri" w:hAnsi="Calibri"/>
                <w:i/>
                <w:color w:val="000000"/>
              </w:rPr>
              <w:t xml:space="preserve">2) </w:t>
            </w:r>
            <w:r>
              <w:rPr>
                <w:rFonts w:cs="Calibri" w:ascii="Calibri" w:hAnsi="Calibri"/>
                <w:i w:val="false"/>
                <w:iCs w:val="false"/>
                <w:color w:val="000000"/>
              </w:rPr>
              <w:t xml:space="preserve">Relativamente al secondo punto si riscontra che per mero errore di trascrizione   </w:t>
            </w:r>
            <w:r>
              <w:rPr>
                <w:rFonts w:cs="Calibri" w:ascii="Calibri" w:hAnsi="Calibri"/>
                <w:i w:val="false"/>
                <w:iCs w:val="false"/>
                <w:color w:val="000000"/>
              </w:rPr>
              <w:t xml:space="preserve">- </w:t>
            </w:r>
            <w:r>
              <w:rPr>
                <w:rFonts w:cs="Calibri" w:ascii="Calibri" w:hAnsi="Calibri"/>
                <w:i w:val="false"/>
                <w:iCs w:val="false"/>
                <w:color w:val="000000"/>
              </w:rPr>
              <w:t xml:space="preserve">relativamente alle Esperienze Professionali  </w:t>
            </w:r>
            <w:r>
              <w:rPr>
                <w:rFonts w:cs="Calibri" w:ascii="Calibri" w:hAnsi="Calibri"/>
                <w:i w:val="false"/>
                <w:iCs w:val="false"/>
                <w:color w:val="000000"/>
              </w:rPr>
              <w:t xml:space="preserve">- </w:t>
            </w:r>
            <w:r>
              <w:rPr>
                <w:rFonts w:cs="Calibri" w:ascii="Calibri" w:hAnsi="Calibri"/>
                <w:i w:val="false"/>
                <w:iCs w:val="false"/>
                <w:color w:val="000000"/>
              </w:rPr>
              <w:t>è stato indicato il codice 159 mentre è da intendersi il codice 305 corrispondente a</w:t>
            </w:r>
            <w:r>
              <w:rPr>
                <w:rFonts w:cs="Calibri" w:ascii="Calibri" w:hAnsi="Calibri"/>
                <w:i/>
                <w:iCs w:val="false"/>
                <w:color w:val="000000"/>
              </w:rPr>
              <w:t xml:space="preserve"> </w:t>
            </w:r>
            <w:r>
              <w:rPr>
                <w:rFonts w:cs="Calibri" w:ascii="Calibri" w:hAnsi="Calibri"/>
                <w:i/>
                <w:iCs w:val="false"/>
                <w:color w:val="000000"/>
                <w:sz w:val="24"/>
                <w:szCs w:val="24"/>
                <w:u w:val="none"/>
              </w:rPr>
              <w:t>Studi, lavori e/o attività didattica sulla gestione e tutela della biodiversità in aree di interesse naturalistico”</w:t>
            </w:r>
          </w:p>
        </w:tc>
      </w:tr>
      <w:tr>
        <w:trPr/>
        <w:tc>
          <w:tcPr>
            <w:tcW w:w="664" w:type="dxa"/>
            <w:tcBorders/>
            <w:shd w:fill="auto" w:val="clear"/>
            <w:tcMar>
              <w:left w:w="103" w:type="dxa"/>
            </w:tcMar>
          </w:tcPr>
          <w:p>
            <w:pPr>
              <w:pStyle w:val="Normal"/>
              <w:spacing w:lineRule="auto" w:line="240" w:before="0" w:after="0"/>
              <w:rPr>
                <w:u w:val="single"/>
              </w:rPr>
            </w:pPr>
            <w:r>
              <w:rPr>
                <w:u w:val="single"/>
              </w:rPr>
            </w:r>
          </w:p>
        </w:tc>
        <w:tc>
          <w:tcPr>
            <w:tcW w:w="4567" w:type="dxa"/>
            <w:tcBorders/>
            <w:shd w:fill="auto" w:val="clear"/>
            <w:tcMar>
              <w:left w:w="103" w:type="dxa"/>
            </w:tcMar>
          </w:tcPr>
          <w:p>
            <w:pPr>
              <w:pStyle w:val="Normal"/>
              <w:spacing w:lineRule="auto" w:line="240" w:before="0" w:after="0"/>
              <w:rPr>
                <w:b/>
                <w:b/>
                <w:u w:val="single"/>
              </w:rPr>
            </w:pPr>
            <w:r>
              <w:rPr>
                <w:b/>
                <w:u w:val="single"/>
              </w:rPr>
            </w:r>
          </w:p>
          <w:p>
            <w:pPr>
              <w:pStyle w:val="Normal"/>
              <w:spacing w:lineRule="auto" w:line="240" w:before="0" w:after="0"/>
              <w:rPr>
                <w:u w:val="single"/>
              </w:rPr>
            </w:pPr>
            <w:r>
              <w:rPr>
                <w:u w:val="single"/>
              </w:rPr>
            </w:r>
          </w:p>
          <w:p>
            <w:pPr>
              <w:pStyle w:val="Normal"/>
              <w:spacing w:lineRule="auto" w:line="240" w:before="0" w:after="0"/>
              <w:rPr>
                <w:u w:val="single"/>
              </w:rPr>
            </w:pPr>
            <w:r>
              <w:rPr>
                <w:u w:val="single"/>
              </w:rPr>
            </w:r>
          </w:p>
          <w:p>
            <w:pPr>
              <w:pStyle w:val="Normal"/>
              <w:spacing w:lineRule="auto" w:line="240" w:before="0" w:after="0"/>
              <w:rPr>
                <w:u w:val="single"/>
              </w:rPr>
            </w:pPr>
            <w:r>
              <w:rPr>
                <w:u w:val="single"/>
              </w:rPr>
            </w:r>
          </w:p>
          <w:p>
            <w:pPr>
              <w:pStyle w:val="Normal"/>
              <w:spacing w:lineRule="auto" w:line="240" w:before="0" w:after="0"/>
              <w:rPr>
                <w:u w:val="single"/>
              </w:rPr>
            </w:pPr>
            <w:r>
              <w:rPr>
                <w:u w:val="single"/>
              </w:rPr>
            </w:r>
          </w:p>
          <w:p>
            <w:pPr>
              <w:pStyle w:val="Normal"/>
              <w:spacing w:lineRule="auto" w:line="240" w:before="0" w:after="0"/>
              <w:rPr>
                <w:u w:val="single"/>
              </w:rPr>
            </w:pPr>
            <w:r>
              <w:rPr>
                <w:u w:val="single"/>
              </w:rPr>
            </w:r>
          </w:p>
          <w:p>
            <w:pPr>
              <w:pStyle w:val="Normal"/>
              <w:spacing w:lineRule="auto" w:line="240" w:before="0" w:after="0"/>
              <w:rPr>
                <w:u w:val="single"/>
              </w:rPr>
            </w:pPr>
            <w:r>
              <w:rPr>
                <w:u w:val="single"/>
              </w:rPr>
            </w:r>
          </w:p>
          <w:p>
            <w:pPr>
              <w:pStyle w:val="Normal"/>
              <w:spacing w:lineRule="auto" w:line="240" w:before="0" w:after="0"/>
              <w:rPr>
                <w:b/>
                <w:b/>
                <w:u w:val="single"/>
              </w:rPr>
            </w:pPr>
            <w:r>
              <w:rPr>
                <w:b/>
                <w:u w:val="single"/>
              </w:rPr>
            </w:r>
          </w:p>
        </w:tc>
        <w:tc>
          <w:tcPr>
            <w:tcW w:w="3734" w:type="dxa"/>
            <w:tcBorders/>
            <w:shd w:fill="auto" w:val="clear"/>
            <w:tcMar>
              <w:left w:w="103" w:type="dxa"/>
            </w:tcMar>
          </w:tcPr>
          <w:p>
            <w:pPr>
              <w:pStyle w:val="Normal"/>
              <w:spacing w:lineRule="auto" w:line="240" w:before="0" w:after="0"/>
              <w:rPr>
                <w:rFonts w:cs="Calibri" w:cstheme="minorHAnsi"/>
                <w:color w:val="000000"/>
                <w:shd w:fill="FFFFFF" w:val="clear"/>
              </w:rPr>
            </w:pPr>
            <w:r>
              <w:rPr>
                <w:rFonts w:cs="Calibri" w:cstheme="minorHAnsi"/>
                <w:color w:val="000000"/>
                <w:shd w:fill="FFFFFF" w:val="clear"/>
              </w:rPr>
            </w:r>
          </w:p>
          <w:p>
            <w:pPr>
              <w:pStyle w:val="Normal"/>
              <w:spacing w:lineRule="auto" w:line="240" w:before="0" w:after="0"/>
              <w:rPr>
                <w:rFonts w:cs="Calibri" w:cstheme="minorHAnsi"/>
                <w:color w:val="000000"/>
                <w:shd w:fill="FFFFFF" w:val="clear"/>
              </w:rPr>
            </w:pPr>
            <w:r>
              <w:rPr>
                <w:rFonts w:cs="Calibri" w:cstheme="minorHAnsi"/>
                <w:color w:val="000000"/>
                <w:shd w:fill="FFFFFF" w:val="clear"/>
              </w:rPr>
            </w:r>
          </w:p>
          <w:p>
            <w:pPr>
              <w:pStyle w:val="ListParagraph"/>
              <w:spacing w:lineRule="auto" w:line="240" w:before="0" w:after="0"/>
              <w:contextualSpacing/>
              <w:rPr/>
            </w:pPr>
            <w:r>
              <w:rPr>
                <w:rFonts w:cs="Calibri" w:cstheme="minorHAnsi"/>
              </w:rPr>
              <w:t xml:space="preserve"> </w:t>
            </w:r>
          </w:p>
          <w:p>
            <w:pPr>
              <w:pStyle w:val="Normal"/>
              <w:spacing w:lineRule="auto" w:line="240" w:before="0" w:after="0"/>
              <w:rPr>
                <w:rFonts w:cs="Calibri" w:cstheme="minorHAnsi"/>
              </w:rPr>
            </w:pPr>
            <w:r>
              <w:rPr>
                <w:rFonts w:cs="Calibri" w:cstheme="minorHAnsi"/>
              </w:rPr>
            </w:r>
          </w:p>
        </w:tc>
        <w:tc>
          <w:tcPr>
            <w:tcW w:w="662" w:type="dxa"/>
            <w:tcBorders>
              <w:top w:val="nil"/>
              <w:left w:val="nil"/>
              <w:bottom w:val="nil"/>
              <w:right w:val="nil"/>
              <w:insideH w:val="nil"/>
              <w:insideV w:val="nil"/>
            </w:tcBorders>
            <w:shd w:fill="auto" w:val="clear"/>
            <w:tcMar>
              <w:left w:w="113" w:type="dxa"/>
            </w:tcMar>
          </w:tcPr>
          <w:p>
            <w:pPr>
              <w:pStyle w:val="Normal"/>
              <w:spacing w:lineRule="auto" w:line="240" w:before="0" w:after="0"/>
              <w:rPr/>
            </w:pPr>
            <w:r>
              <w:rPr/>
            </w:r>
          </w:p>
        </w:tc>
      </w:tr>
    </w:tbl>
    <w:p>
      <w:pPr>
        <w:pStyle w:val="Normal"/>
        <w:spacing w:before="0" w:after="200"/>
        <w:rPr/>
      </w:pPr>
      <w:r>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b7979"/>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it-IT" w:eastAsia="en-US" w:bidi="ar-SA"/>
    </w:rPr>
  </w:style>
  <w:style w:type="character" w:styleId="DefaultParagraphFont" w:default="1">
    <w:name w:val="Default Paragraph Font"/>
    <w:uiPriority w:val="1"/>
    <w:semiHidden/>
    <w:unhideWhenUsed/>
    <w:qFormat/>
    <w:rPr/>
  </w:style>
  <w:style w:type="character" w:styleId="ParagrafoelencoCarattere" w:customStyle="1">
    <w:name w:val="Paragrafo elenco Carattere"/>
    <w:link w:val="Paragrafoelenco"/>
    <w:uiPriority w:val="34"/>
    <w:qFormat/>
    <w:locked/>
    <w:rsid w:val="00ae59c4"/>
    <w:rPr/>
  </w:style>
  <w:style w:type="character" w:styleId="TestofumettoCarattere" w:customStyle="1">
    <w:name w:val="Testo fumetto Carattere"/>
    <w:basedOn w:val="DefaultParagraphFont"/>
    <w:link w:val="Testofumetto"/>
    <w:uiPriority w:val="99"/>
    <w:semiHidden/>
    <w:qFormat/>
    <w:rsid w:val="00237578"/>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rFonts w:eastAsia="Calibri" w:cs="Calibri"/>
      <w:color w:val="000000"/>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Calibri"/>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color w:val="000000"/>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link w:val="ParagrafoelencoCarattere"/>
    <w:uiPriority w:val="34"/>
    <w:qFormat/>
    <w:rsid w:val="00122ecf"/>
    <w:pPr>
      <w:spacing w:before="0" w:after="200"/>
      <w:ind w:left="720" w:hanging="0"/>
      <w:contextualSpacing/>
    </w:pPr>
    <w:rPr/>
  </w:style>
  <w:style w:type="paragraph" w:styleId="Default" w:customStyle="1">
    <w:name w:val="default"/>
    <w:basedOn w:val="Normal"/>
    <w:qFormat/>
    <w:rsid w:val="009f0450"/>
    <w:pPr>
      <w:spacing w:lineRule="auto" w:line="240" w:beforeAutospacing="1" w:afterAutospacing="1"/>
    </w:pPr>
    <w:rPr>
      <w:rFonts w:ascii="Times New Roman" w:hAnsi="Times New Roman" w:eastAsia="Times New Roman" w:cs="Times New Roman"/>
      <w:sz w:val="24"/>
      <w:szCs w:val="24"/>
      <w:lang w:eastAsia="it-IT"/>
    </w:rPr>
  </w:style>
  <w:style w:type="paragraph" w:styleId="NormalWeb">
    <w:name w:val="Normal (Web)"/>
    <w:basedOn w:val="Normal"/>
    <w:uiPriority w:val="99"/>
    <w:unhideWhenUsed/>
    <w:qFormat/>
    <w:rsid w:val="006915f7"/>
    <w:pPr>
      <w:spacing w:lineRule="auto" w:line="240" w:beforeAutospacing="1" w:afterAutospacing="1"/>
    </w:pPr>
    <w:rPr>
      <w:rFonts w:ascii="Times New Roman" w:hAnsi="Times New Roman" w:eastAsia="Times New Roman" w:cs="Times New Roman"/>
      <w:sz w:val="24"/>
      <w:szCs w:val="24"/>
      <w:lang w:eastAsia="it-IT"/>
    </w:rPr>
  </w:style>
  <w:style w:type="paragraph" w:styleId="BalloonText">
    <w:name w:val="Balloon Text"/>
    <w:basedOn w:val="Normal"/>
    <w:link w:val="TestofumettoCarattere"/>
    <w:uiPriority w:val="99"/>
    <w:semiHidden/>
    <w:unhideWhenUsed/>
    <w:qFormat/>
    <w:rsid w:val="00237578"/>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f9293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LibreOffice/5.3.3.2$Windows_x86 LibreOffice_project/3d9a8b4b4e538a85e0782bd6c2d430bafe583448</Application>
  <Pages>1</Pages>
  <Words>262</Words>
  <Characters>1494</Characters>
  <CharactersWithSpaces>1749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2017-10-03T11:16:00Z</dcterms:created>
  <dc:creator>nicoletta.boldrini</dc:creator>
  <dc:description/>
  <dc:language>it-IT</dc:language>
  <cp:lastModifiedBy/>
  <cp:lastPrinted>2017-08-09T08:53:00Z</cp:lastPrinted>
  <dcterms:modified xsi:type="dcterms:W3CDTF">2018-03-05T16:28:03Z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