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73" w:rsidRDefault="00BD4173" w:rsidP="00BD4173">
      <w:bookmarkStart w:id="0" w:name="_Toc159484974"/>
    </w:p>
    <w:p w:rsidR="00BD4173" w:rsidRDefault="00BD4173" w:rsidP="00BD4173"/>
    <w:p w:rsidR="00BD4173" w:rsidRDefault="00BD4173" w:rsidP="00BD4173"/>
    <w:p w:rsidR="00BD4173" w:rsidRPr="00776650" w:rsidRDefault="00BD4173" w:rsidP="00BD4173">
      <w:bookmarkStart w:id="1" w:name="_GoBack"/>
      <w:r w:rsidRPr="00776650">
        <w:t>Allegato 3.2 – Avanzamento dei costi di progetto e determinazione dell’importo dell’acconto</w:t>
      </w:r>
      <w:bookmarkEnd w:id="0"/>
    </w:p>
    <w:bookmarkEnd w:id="1"/>
    <w:p w:rsidR="00BD4173" w:rsidRPr="00776650" w:rsidRDefault="00BD4173" w:rsidP="00BD4173"/>
    <w:tbl>
      <w:tblPr>
        <w:tblW w:w="0" w:type="auto"/>
        <w:tblBorders>
          <w:top w:val="single" w:sz="2" w:space="0" w:color="8EAADB" w:themeColor="accent5" w:themeTint="99"/>
          <w:left w:val="single" w:sz="2" w:space="0" w:color="8EAADB" w:themeColor="accent5" w:themeTint="99"/>
          <w:bottom w:val="single" w:sz="2" w:space="0" w:color="8EAADB" w:themeColor="accent5" w:themeTint="99"/>
          <w:right w:val="single" w:sz="2" w:space="0" w:color="8EAADB" w:themeColor="accent5" w:themeTint="99"/>
          <w:insideH w:val="single" w:sz="6" w:space="0" w:color="8EAADB" w:themeColor="accent5" w:themeTint="99"/>
          <w:insideV w:val="single" w:sz="6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3268"/>
        <w:gridCol w:w="3149"/>
        <w:gridCol w:w="3149"/>
        <w:gridCol w:w="3149"/>
      </w:tblGrid>
      <w:tr w:rsidR="00BD4173" w:rsidRPr="00776650" w:rsidTr="00130D07">
        <w:tc>
          <w:tcPr>
            <w:tcW w:w="3268" w:type="dxa"/>
            <w:shd w:val="clear" w:color="auto" w:fill="2E74B5" w:themeFill="accent1" w:themeFillShade="BF"/>
            <w:vAlign w:val="center"/>
          </w:tcPr>
          <w:p w:rsidR="00BD4173" w:rsidRPr="00776650" w:rsidRDefault="00BD4173" w:rsidP="00130D07">
            <w:r w:rsidRPr="00776650">
              <w:t>Voce di costo</w:t>
            </w:r>
          </w:p>
        </w:tc>
        <w:tc>
          <w:tcPr>
            <w:tcW w:w="3149" w:type="dxa"/>
            <w:shd w:val="clear" w:color="auto" w:fill="2E74B5" w:themeFill="accent1" w:themeFillShade="BF"/>
            <w:vAlign w:val="center"/>
          </w:tcPr>
          <w:p w:rsidR="00BD4173" w:rsidRPr="00776650" w:rsidRDefault="00BD4173" w:rsidP="00130D07">
            <w:r w:rsidRPr="00776650">
              <w:t>Importo (€)</w:t>
            </w:r>
          </w:p>
        </w:tc>
        <w:tc>
          <w:tcPr>
            <w:tcW w:w="3149" w:type="dxa"/>
            <w:shd w:val="clear" w:color="auto" w:fill="2E74B5" w:themeFill="accent1" w:themeFillShade="BF"/>
            <w:vAlign w:val="center"/>
          </w:tcPr>
          <w:p w:rsidR="00BD4173" w:rsidRPr="00776650" w:rsidRDefault="00BD4173" w:rsidP="00130D07">
            <w:r w:rsidRPr="00776650">
              <w:t>Percentuale di avanzamento della spesa</w:t>
            </w:r>
            <w:r w:rsidRPr="00776650">
              <w:footnoteReference w:id="1"/>
            </w:r>
          </w:p>
        </w:tc>
        <w:tc>
          <w:tcPr>
            <w:tcW w:w="3149" w:type="dxa"/>
            <w:shd w:val="clear" w:color="auto" w:fill="2E74B5" w:themeFill="accent1" w:themeFillShade="BF"/>
            <w:vAlign w:val="center"/>
          </w:tcPr>
          <w:p w:rsidR="00BD4173" w:rsidRPr="00776650" w:rsidRDefault="00BD4173" w:rsidP="00130D07">
            <w:r w:rsidRPr="00776650">
              <w:t>Importo acconto (€)</w:t>
            </w:r>
          </w:p>
        </w:tc>
      </w:tr>
      <w:tr w:rsidR="00BD4173" w:rsidRPr="00776650" w:rsidTr="00130D07">
        <w:tc>
          <w:tcPr>
            <w:tcW w:w="3268" w:type="dxa"/>
            <w:vAlign w:val="center"/>
          </w:tcPr>
          <w:p w:rsidR="00BD4173" w:rsidRPr="00776650" w:rsidRDefault="00BD4173" w:rsidP="00130D07">
            <w:r w:rsidRPr="00776650">
              <w:t>Spese di personale</w:t>
            </w:r>
          </w:p>
        </w:tc>
        <w:tc>
          <w:tcPr>
            <w:tcW w:w="3149" w:type="dxa"/>
            <w:vAlign w:val="center"/>
          </w:tcPr>
          <w:p w:rsidR="00BD4173" w:rsidRPr="00776650" w:rsidRDefault="00BD4173" w:rsidP="00130D07">
            <w:r w:rsidRPr="00776650">
              <w:t>Riportare l’importo totale del costo del personale quantificato in Allegato 3.1 B.</w:t>
            </w:r>
          </w:p>
        </w:tc>
        <w:tc>
          <w:tcPr>
            <w:tcW w:w="3149" w:type="dxa"/>
            <w:vMerge w:val="restart"/>
            <w:vAlign w:val="center"/>
          </w:tcPr>
          <w:p w:rsidR="00BD4173" w:rsidRPr="00776650" w:rsidRDefault="00BD4173" w:rsidP="00130D07">
            <w:r w:rsidRPr="00776650">
              <w:t xml:space="preserve">Riportare il valore del rapporto tra il totale dei costi sostenuti alla presentazione della presente richiesta di acconto e il totale dei costi ammissibili di progetto </w:t>
            </w:r>
          </w:p>
        </w:tc>
        <w:tc>
          <w:tcPr>
            <w:tcW w:w="3149" w:type="dxa"/>
            <w:vMerge w:val="restart"/>
            <w:vAlign w:val="center"/>
          </w:tcPr>
          <w:p w:rsidR="00BD4173" w:rsidRPr="00776650" w:rsidRDefault="00BD4173" w:rsidP="00130D07">
            <w:r w:rsidRPr="00776650">
              <w:t>Riportare l’importo del 40% / 50% dell’aiuto concesso</w:t>
            </w:r>
          </w:p>
        </w:tc>
      </w:tr>
      <w:tr w:rsidR="00BD4173" w:rsidRPr="00776650" w:rsidTr="00130D07">
        <w:tc>
          <w:tcPr>
            <w:tcW w:w="3268" w:type="dxa"/>
            <w:vAlign w:val="center"/>
          </w:tcPr>
          <w:p w:rsidR="00BD4173" w:rsidRPr="00776650" w:rsidRDefault="00BD4173" w:rsidP="00130D07">
            <w:r w:rsidRPr="00776650">
              <w:t>Costi relativi a strumentazione e attrezzature</w:t>
            </w:r>
          </w:p>
        </w:tc>
        <w:tc>
          <w:tcPr>
            <w:tcW w:w="3149" w:type="dxa"/>
            <w:vMerge w:val="restart"/>
            <w:vAlign w:val="center"/>
          </w:tcPr>
          <w:p w:rsidR="00BD4173" w:rsidRPr="00776650" w:rsidRDefault="00BD4173" w:rsidP="00130D07">
            <w:r w:rsidRPr="00776650">
              <w:t>Determinare l’importo in relazione al costo del personale sopra riportato in coerenza con quanto stabilito dall’art. 56 RDC.</w:t>
            </w:r>
          </w:p>
        </w:tc>
        <w:tc>
          <w:tcPr>
            <w:tcW w:w="3149" w:type="dxa"/>
            <w:vMerge/>
            <w:vAlign w:val="center"/>
          </w:tcPr>
          <w:p w:rsidR="00BD4173" w:rsidRPr="00776650" w:rsidRDefault="00BD4173" w:rsidP="00130D07"/>
        </w:tc>
        <w:tc>
          <w:tcPr>
            <w:tcW w:w="3149" w:type="dxa"/>
            <w:vMerge/>
            <w:vAlign w:val="center"/>
          </w:tcPr>
          <w:p w:rsidR="00BD4173" w:rsidRPr="00776650" w:rsidRDefault="00BD4173" w:rsidP="00130D07"/>
        </w:tc>
      </w:tr>
      <w:tr w:rsidR="00BD4173" w:rsidRPr="00776650" w:rsidTr="00130D07">
        <w:tc>
          <w:tcPr>
            <w:tcW w:w="3268" w:type="dxa"/>
            <w:vAlign w:val="center"/>
          </w:tcPr>
          <w:p w:rsidR="00BD4173" w:rsidRPr="00776650" w:rsidRDefault="00BD4173" w:rsidP="00130D07">
            <w:r w:rsidRPr="00776650">
              <w:t>Costi per la ricerca contrattuale, le conoscenze e i brevetti acquisiti o ottenuti in licenza da fonti esterne alle normali condizioni di mercato, nonché costi per i servizi di consulenza</w:t>
            </w:r>
          </w:p>
        </w:tc>
        <w:tc>
          <w:tcPr>
            <w:tcW w:w="3149" w:type="dxa"/>
            <w:vMerge/>
            <w:vAlign w:val="center"/>
          </w:tcPr>
          <w:p w:rsidR="00BD4173" w:rsidRPr="00776650" w:rsidRDefault="00BD4173" w:rsidP="00130D07"/>
        </w:tc>
        <w:tc>
          <w:tcPr>
            <w:tcW w:w="3149" w:type="dxa"/>
            <w:vMerge/>
            <w:vAlign w:val="center"/>
          </w:tcPr>
          <w:p w:rsidR="00BD4173" w:rsidRPr="00776650" w:rsidRDefault="00BD4173" w:rsidP="00130D07"/>
        </w:tc>
        <w:tc>
          <w:tcPr>
            <w:tcW w:w="3149" w:type="dxa"/>
            <w:vMerge/>
            <w:vAlign w:val="center"/>
          </w:tcPr>
          <w:p w:rsidR="00BD4173" w:rsidRPr="00776650" w:rsidRDefault="00BD4173" w:rsidP="00130D07"/>
        </w:tc>
      </w:tr>
      <w:tr w:rsidR="00BD4173" w:rsidRPr="00776650" w:rsidTr="00130D07">
        <w:tc>
          <w:tcPr>
            <w:tcW w:w="3268" w:type="dxa"/>
            <w:vAlign w:val="center"/>
          </w:tcPr>
          <w:p w:rsidR="00BD4173" w:rsidRPr="00776650" w:rsidRDefault="00BD4173" w:rsidP="00130D07">
            <w:r w:rsidRPr="00776650">
              <w:t>Altri costi di esercizio</w:t>
            </w:r>
          </w:p>
        </w:tc>
        <w:tc>
          <w:tcPr>
            <w:tcW w:w="3149" w:type="dxa"/>
            <w:vMerge/>
            <w:vAlign w:val="center"/>
          </w:tcPr>
          <w:p w:rsidR="00BD4173" w:rsidRPr="00776650" w:rsidRDefault="00BD4173" w:rsidP="00130D07"/>
        </w:tc>
        <w:tc>
          <w:tcPr>
            <w:tcW w:w="3149" w:type="dxa"/>
            <w:vMerge/>
            <w:vAlign w:val="center"/>
          </w:tcPr>
          <w:p w:rsidR="00BD4173" w:rsidRPr="00776650" w:rsidRDefault="00BD4173" w:rsidP="00130D07"/>
        </w:tc>
        <w:tc>
          <w:tcPr>
            <w:tcW w:w="3149" w:type="dxa"/>
            <w:vMerge/>
            <w:vAlign w:val="center"/>
          </w:tcPr>
          <w:p w:rsidR="00BD4173" w:rsidRPr="00776650" w:rsidRDefault="00BD4173" w:rsidP="00130D07"/>
        </w:tc>
      </w:tr>
      <w:tr w:rsidR="00BD4173" w:rsidRPr="00776650" w:rsidTr="00130D07">
        <w:tc>
          <w:tcPr>
            <w:tcW w:w="3268" w:type="dxa"/>
            <w:vAlign w:val="center"/>
          </w:tcPr>
          <w:p w:rsidR="00BD4173" w:rsidRPr="00776650" w:rsidRDefault="00BD4173" w:rsidP="00130D07">
            <w:r w:rsidRPr="00776650">
              <w:t>Spese generali supplementari</w:t>
            </w:r>
          </w:p>
        </w:tc>
        <w:tc>
          <w:tcPr>
            <w:tcW w:w="3149" w:type="dxa"/>
            <w:vMerge/>
            <w:vAlign w:val="center"/>
          </w:tcPr>
          <w:p w:rsidR="00BD4173" w:rsidRPr="00776650" w:rsidRDefault="00BD4173" w:rsidP="00130D07"/>
        </w:tc>
        <w:tc>
          <w:tcPr>
            <w:tcW w:w="3149" w:type="dxa"/>
            <w:vMerge/>
          </w:tcPr>
          <w:p w:rsidR="00BD4173" w:rsidRPr="00776650" w:rsidRDefault="00BD4173" w:rsidP="00130D07"/>
        </w:tc>
        <w:tc>
          <w:tcPr>
            <w:tcW w:w="3149" w:type="dxa"/>
            <w:vMerge/>
            <w:vAlign w:val="center"/>
          </w:tcPr>
          <w:p w:rsidR="00BD4173" w:rsidRPr="00776650" w:rsidRDefault="00BD4173" w:rsidP="00130D07"/>
        </w:tc>
      </w:tr>
      <w:tr w:rsidR="00BD4173" w:rsidRPr="00776650" w:rsidTr="00130D07">
        <w:tc>
          <w:tcPr>
            <w:tcW w:w="3268" w:type="dxa"/>
            <w:shd w:val="clear" w:color="auto" w:fill="2E74B5" w:themeFill="accent1" w:themeFillShade="BF"/>
          </w:tcPr>
          <w:p w:rsidR="00BD4173" w:rsidRPr="00776650" w:rsidRDefault="00BD4173" w:rsidP="00130D07">
            <w:r w:rsidRPr="00776650">
              <w:t>Totale</w:t>
            </w:r>
          </w:p>
        </w:tc>
        <w:tc>
          <w:tcPr>
            <w:tcW w:w="3149" w:type="dxa"/>
            <w:shd w:val="clear" w:color="auto" w:fill="2E74B5" w:themeFill="accent1" w:themeFillShade="BF"/>
          </w:tcPr>
          <w:p w:rsidR="00BD4173" w:rsidRPr="00776650" w:rsidRDefault="00BD4173" w:rsidP="00130D07"/>
        </w:tc>
        <w:tc>
          <w:tcPr>
            <w:tcW w:w="3149" w:type="dxa"/>
            <w:shd w:val="clear" w:color="auto" w:fill="2E74B5" w:themeFill="accent1" w:themeFillShade="BF"/>
          </w:tcPr>
          <w:p w:rsidR="00BD4173" w:rsidRPr="00776650" w:rsidRDefault="00BD4173" w:rsidP="00130D07"/>
        </w:tc>
        <w:tc>
          <w:tcPr>
            <w:tcW w:w="3149" w:type="dxa"/>
            <w:shd w:val="clear" w:color="auto" w:fill="2E74B5" w:themeFill="accent1" w:themeFillShade="BF"/>
          </w:tcPr>
          <w:p w:rsidR="00BD4173" w:rsidRPr="00776650" w:rsidRDefault="00BD4173" w:rsidP="00130D07"/>
        </w:tc>
      </w:tr>
    </w:tbl>
    <w:p w:rsidR="00BD4173" w:rsidRPr="00776650" w:rsidRDefault="00BD4173" w:rsidP="00BD4173">
      <w:pPr>
        <w:sectPr w:rsidR="00BD4173" w:rsidRPr="00776650" w:rsidSect="00590B90">
          <w:headerReference w:type="first" r:id="rId6"/>
          <w:pgSz w:w="15840" w:h="12240" w:orient="landscape"/>
          <w:pgMar w:top="720" w:right="720" w:bottom="720" w:left="1686" w:header="720" w:footer="283" w:gutter="0"/>
          <w:cols w:space="720"/>
          <w:titlePg/>
          <w:docGrid w:linePitch="360"/>
        </w:sectPr>
      </w:pPr>
    </w:p>
    <w:p w:rsidR="00BD4173" w:rsidRPr="00776650" w:rsidRDefault="00BD4173" w:rsidP="00BD4173"/>
    <w:p w:rsidR="00BD4173" w:rsidRPr="00776650" w:rsidRDefault="00BD4173" w:rsidP="00BD4173"/>
    <w:p w:rsidR="00BD4173" w:rsidRPr="00776650" w:rsidRDefault="00BD4173" w:rsidP="00BD4173">
      <w:r w:rsidRPr="00776650">
        <w:t xml:space="preserve">DICHIARA </w:t>
      </w:r>
    </w:p>
    <w:p w:rsidR="00BD4173" w:rsidRPr="00776650" w:rsidRDefault="00BD4173" w:rsidP="00BD4173">
      <w:r w:rsidRPr="00776650">
        <w:t>che sono stati rispettati tutti i regolamenti e le norme UE applicabili, tra cui quelle riguardanti gli obblighi in materia di concorrenza, aiuti di Stato, informazione e pubblicità, tutela dell’ambiente e pari opportunità;</w:t>
      </w:r>
    </w:p>
    <w:p w:rsidR="00BD4173" w:rsidRPr="00776650" w:rsidRDefault="00BD4173" w:rsidP="00BD4173">
      <w:r w:rsidRPr="00776650">
        <w:t>che sono state adempiute tutte le prescrizioni di legge regionale, nazionale, applicabili;</w:t>
      </w:r>
    </w:p>
    <w:p w:rsidR="00BD4173" w:rsidRPr="00776650" w:rsidRDefault="00BD4173" w:rsidP="00BD4173">
      <w:r w:rsidRPr="00776650">
        <w:t>che la spesa sostenuta è ammissibile, pertinente e congrua, ed è stata effettuata entro i termini di ammissibilità a rimborso comunitario;</w:t>
      </w:r>
    </w:p>
    <w:p w:rsidR="00BD4173" w:rsidRPr="00776650" w:rsidRDefault="00BD4173" w:rsidP="00BD4173">
      <w:r w:rsidRPr="00776650">
        <w:t>che non sono stati ottenuti, né richiesti ulteriori rimborsi, contributi ed integrazioni di altri soggetti, pubblici o privati, nazionali, regionali, provinciali e/o comunitari (ovvero sono stati ottenuti o richiesti quali e in quale misura e su quali spese);</w:t>
      </w:r>
    </w:p>
    <w:p w:rsidR="00BD4173" w:rsidRPr="00776650" w:rsidRDefault="00BD4173" w:rsidP="00BD4173">
      <w:r w:rsidRPr="00776650">
        <w:t>che sono stati trasmessi alla Regione i dati di monitoraggio economico, finanziario, fisico e procedurale e le informazioni relative alle varie fasi di realizzazione dell'Intervento nelle modalità e nei tempi definiti dalla Regione;</w:t>
      </w:r>
    </w:p>
    <w:p w:rsidR="00BD4173" w:rsidRPr="00776650" w:rsidRDefault="00BD4173" w:rsidP="00BD4173">
      <w:r w:rsidRPr="00776650">
        <w:t>di non presentare spese relative all’acquisto di beni o servizi di proprietà di uno o più soci/associati del soggetto richiedente gli aiuti o di parenti o affini, entro il terzo grado del richiedente o da imprese partecipate da soci/associati dello stesso richiedente o di parenti o affini entro il terzo grado del richiedente;</w:t>
      </w:r>
    </w:p>
    <w:p w:rsidR="00BD4173" w:rsidRPr="00776650" w:rsidRDefault="00BD4173" w:rsidP="00BD4173">
      <w:r w:rsidRPr="00776650">
        <w:t>di presentare, se previsti, costi per la ricerca contrattuale, le conoscenze e i brevetti acquisiti o ottenuti in licenza da fonti esterne alle normali condizioni di mercato, nonché costi per i servizi di consulenza e servizi equivalenti utilizzati esclusivamente ai fini del progetto.</w:t>
      </w:r>
    </w:p>
    <w:p w:rsidR="00BD4173" w:rsidRPr="00776650" w:rsidRDefault="00BD4173" w:rsidP="00BD4173">
      <w:r w:rsidRPr="00776650">
        <w:t>che tutti i documenti oggetto connessi al contributo concesso sono conservati sotto forma di originali o di copie autenticate su supporti comunemente accettati, che comprovano l’effettività della spesa sostenuta;</w:t>
      </w:r>
    </w:p>
    <w:p w:rsidR="00BD4173" w:rsidRPr="00776650" w:rsidRDefault="00BD4173" w:rsidP="00BD4173">
      <w:r w:rsidRPr="00776650">
        <w:t>di mantenere gli originali dei documenti di spesa e di quelli attestanti l’avvenuto pagamento a disposizione per gli accertamenti e i controlli previsti, per un periodo di dieci anni successivi all’erogazione del saldo del Contributo e in ogni caso fino al terzo anno successivo alla chiusura del Programma. Tali documenti sono resi disponibili, a richiesta, per gli accertamenti e verifiche da parte della Regione e degli organismi nazionali e comunitari preposti al controllo;</w:t>
      </w:r>
    </w:p>
    <w:p w:rsidR="00BD4173" w:rsidRPr="00776650" w:rsidRDefault="00BD4173" w:rsidP="00BD4173"/>
    <w:p w:rsidR="00BD4173" w:rsidRPr="00776650" w:rsidRDefault="00BD4173" w:rsidP="00BD4173">
      <w:r w:rsidRPr="00776650">
        <w:t>COMUNICA</w:t>
      </w:r>
    </w:p>
    <w:p w:rsidR="00BD4173" w:rsidRPr="00776650" w:rsidRDefault="00BD4173" w:rsidP="00BD4173">
      <w:r w:rsidRPr="00776650">
        <w:t>Che tutta la documentazione relativa al progetto è ubicata presso ______________________ e che il soggetto addetto a tale conservazione è __________________________.</w:t>
      </w:r>
    </w:p>
    <w:p w:rsidR="00BD4173" w:rsidRPr="00776650" w:rsidRDefault="00BD4173" w:rsidP="00BD4173"/>
    <w:p w:rsidR="00BD4173" w:rsidRPr="00776650" w:rsidRDefault="00BD4173" w:rsidP="00BD4173">
      <w:r w:rsidRPr="00776650">
        <w:t>SOTTOSCRIZIONE DEL LEGALE RAPPRESENTANTE</w:t>
      </w:r>
    </w:p>
    <w:p w:rsidR="00BD4173" w:rsidRPr="00776650" w:rsidRDefault="00BD4173" w:rsidP="00BD4173">
      <w:r w:rsidRPr="00776650">
        <w:t>Il sottoscritto dichiara di rendere le precedenti dichiarazioni ai sensi dell’art. 47 del D.P.R. 28/12/2000 n. 445, e di essere consapevole delle responsabilità penali cui può andare incontro in caso di dichiarazione mendace o di esibizione di atto falso o contenente dati non rispondenti a verità, ai sensi dell’art. 76 del D.P.R. 28/12/2000 n. 445.</w:t>
      </w:r>
    </w:p>
    <w:p w:rsidR="00BD4173" w:rsidRPr="00776650" w:rsidRDefault="00BD4173" w:rsidP="00BD4173"/>
    <w:p w:rsidR="00BD4173" w:rsidRPr="00776650" w:rsidRDefault="00BD4173" w:rsidP="00BD4173">
      <w:r w:rsidRPr="00776650">
        <w:lastRenderedPageBreak/>
        <w:t>Data ____________</w:t>
      </w:r>
      <w:r w:rsidRPr="00776650">
        <w:tab/>
        <w:t>Firma digitale</w:t>
      </w:r>
    </w:p>
    <w:p w:rsidR="00BD4173" w:rsidRPr="00776650" w:rsidRDefault="00BD4173" w:rsidP="00BD4173"/>
    <w:p w:rsidR="005C5DB1" w:rsidRDefault="005C5DB1"/>
    <w:sectPr w:rsidR="005C5D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4A2" w:rsidRDefault="005A74A2" w:rsidP="00BD4173">
      <w:pPr>
        <w:spacing w:after="0" w:line="240" w:lineRule="auto"/>
      </w:pPr>
      <w:r>
        <w:separator/>
      </w:r>
    </w:p>
  </w:endnote>
  <w:endnote w:type="continuationSeparator" w:id="0">
    <w:p w:rsidR="005A74A2" w:rsidRDefault="005A74A2" w:rsidP="00BD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4A2" w:rsidRDefault="005A74A2" w:rsidP="00BD4173">
      <w:pPr>
        <w:spacing w:after="0" w:line="240" w:lineRule="auto"/>
      </w:pPr>
      <w:r>
        <w:separator/>
      </w:r>
    </w:p>
  </w:footnote>
  <w:footnote w:type="continuationSeparator" w:id="0">
    <w:p w:rsidR="005A74A2" w:rsidRDefault="005A74A2" w:rsidP="00BD4173">
      <w:pPr>
        <w:spacing w:after="0" w:line="240" w:lineRule="auto"/>
      </w:pPr>
      <w:r>
        <w:continuationSeparator/>
      </w:r>
    </w:p>
  </w:footnote>
  <w:footnote w:id="1">
    <w:p w:rsidR="00BD4173" w:rsidRPr="00776650" w:rsidRDefault="00BD4173" w:rsidP="00BD4173">
      <w:r w:rsidRPr="00776650">
        <w:footnoteRef/>
      </w:r>
      <w:r w:rsidRPr="00776650">
        <w:t xml:space="preserve"> </w:t>
      </w:r>
      <w:r w:rsidRPr="00776650">
        <w:tab/>
        <w:t xml:space="preserve">L’Avanzamento della spesa che consente di ottenere un ulteriore 50% dell’aiuto concesso è pari al 50% dei costi totali di progetto (cfr. par. 4.11 comma 1 </w:t>
      </w:r>
      <w:proofErr w:type="spellStart"/>
      <w:r w:rsidRPr="00776650">
        <w:t>lett</w:t>
      </w:r>
      <w:proofErr w:type="spellEnd"/>
      <w:r w:rsidRPr="00776650">
        <w:t>.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173" w:rsidRDefault="00BD4173">
    <w:pPr>
      <w:pStyle w:val="Intestazione"/>
    </w:pPr>
    <w:r w:rsidRPr="00776650">
      <w:drawing>
        <wp:anchor distT="0" distB="0" distL="114300" distR="114300" simplePos="0" relativeHeight="251659264" behindDoc="1" locked="0" layoutInCell="1" allowOverlap="1" wp14:anchorId="37FE00F4" wp14:editId="26777499">
          <wp:simplePos x="0" y="0"/>
          <wp:positionH relativeFrom="margin">
            <wp:posOffset>0</wp:posOffset>
          </wp:positionH>
          <wp:positionV relativeFrom="paragraph">
            <wp:posOffset>172720</wp:posOffset>
          </wp:positionV>
          <wp:extent cx="6479540" cy="631825"/>
          <wp:effectExtent l="0" t="0" r="0" b="0"/>
          <wp:wrapTight wrapText="bothSides">
            <wp:wrapPolygon edited="0">
              <wp:start x="1143" y="3908"/>
              <wp:lineTo x="1080" y="18235"/>
              <wp:lineTo x="17527" y="18235"/>
              <wp:lineTo x="17718" y="15630"/>
              <wp:lineTo x="19877" y="15630"/>
              <wp:lineTo x="19877" y="7164"/>
              <wp:lineTo x="17464" y="3908"/>
              <wp:lineTo x="1143" y="3908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magine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73"/>
    <w:rsid w:val="00161CDB"/>
    <w:rsid w:val="00584123"/>
    <w:rsid w:val="005A74A2"/>
    <w:rsid w:val="005C5DB1"/>
    <w:rsid w:val="00750CAA"/>
    <w:rsid w:val="00BD4173"/>
    <w:rsid w:val="00CE1E8C"/>
    <w:rsid w:val="00E364B3"/>
    <w:rsid w:val="00F5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D0E5"/>
  <w15:chartTrackingRefBased/>
  <w15:docId w15:val="{2DA3CEB9-EB13-40CB-BC12-18515613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41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41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173"/>
  </w:style>
  <w:style w:type="paragraph" w:styleId="Pidipagina">
    <w:name w:val="footer"/>
    <w:basedOn w:val="Normale"/>
    <w:link w:val="PidipaginaCarattere"/>
    <w:uiPriority w:val="99"/>
    <w:unhideWhenUsed/>
    <w:rsid w:val="00BD41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Calabria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pietro.alfarano</dc:creator>
  <cp:keywords/>
  <dc:description/>
  <cp:lastModifiedBy>pietro.alfarano</cp:lastModifiedBy>
  <cp:revision>1</cp:revision>
  <dcterms:created xsi:type="dcterms:W3CDTF">2024-03-15T09:26:00Z</dcterms:created>
  <dcterms:modified xsi:type="dcterms:W3CDTF">2024-03-15T09:28:00Z</dcterms:modified>
</cp:coreProperties>
</file>