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18" w:rsidRDefault="00445918" w:rsidP="00445918">
      <w:bookmarkStart w:id="0" w:name="_Toc159484978"/>
    </w:p>
    <w:p w:rsidR="00445918" w:rsidRPr="00776650" w:rsidRDefault="00445918" w:rsidP="00445918">
      <w:bookmarkStart w:id="1" w:name="_GoBack"/>
      <w:r w:rsidRPr="00776650">
        <w:t>Allegato 4.2 – Avanzamento dei costi di progetto e determinazione dell’importo a saldo</w:t>
      </w:r>
      <w:r w:rsidRPr="00776650">
        <w:footnoteReference w:id="1"/>
      </w:r>
      <w:bookmarkEnd w:id="0"/>
    </w:p>
    <w:bookmarkEnd w:id="1"/>
    <w:p w:rsidR="00445918" w:rsidRPr="00776650" w:rsidRDefault="00445918" w:rsidP="00445918"/>
    <w:tbl>
      <w:tblPr>
        <w:tblW w:w="0" w:type="auto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6" w:space="0" w:color="8EAADB" w:themeColor="accent5" w:themeTint="99"/>
          <w:insideV w:val="single" w:sz="6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3268"/>
        <w:gridCol w:w="3149"/>
        <w:gridCol w:w="3149"/>
        <w:gridCol w:w="3149"/>
      </w:tblGrid>
      <w:tr w:rsidR="00445918" w:rsidRPr="00776650" w:rsidTr="00130D07">
        <w:tc>
          <w:tcPr>
            <w:tcW w:w="3268" w:type="dxa"/>
            <w:shd w:val="clear" w:color="auto" w:fill="2E74B5" w:themeFill="accent1" w:themeFillShade="BF"/>
            <w:vAlign w:val="center"/>
          </w:tcPr>
          <w:p w:rsidR="00445918" w:rsidRPr="00776650" w:rsidRDefault="00445918" w:rsidP="00130D07">
            <w:r w:rsidRPr="00776650">
              <w:t>Voce di costo</w:t>
            </w:r>
          </w:p>
        </w:tc>
        <w:tc>
          <w:tcPr>
            <w:tcW w:w="3149" w:type="dxa"/>
            <w:shd w:val="clear" w:color="auto" w:fill="2E74B5" w:themeFill="accent1" w:themeFillShade="BF"/>
            <w:vAlign w:val="center"/>
          </w:tcPr>
          <w:p w:rsidR="00445918" w:rsidRPr="00776650" w:rsidRDefault="00445918" w:rsidP="00130D07">
            <w:r w:rsidRPr="00776650">
              <w:t>Importo (€)</w:t>
            </w:r>
          </w:p>
        </w:tc>
        <w:tc>
          <w:tcPr>
            <w:tcW w:w="3149" w:type="dxa"/>
            <w:shd w:val="clear" w:color="auto" w:fill="2E74B5" w:themeFill="accent1" w:themeFillShade="BF"/>
            <w:vAlign w:val="center"/>
          </w:tcPr>
          <w:p w:rsidR="00445918" w:rsidRPr="00776650" w:rsidRDefault="00445918" w:rsidP="00130D07">
            <w:r w:rsidRPr="00776650">
              <w:t>Percentuale di avanzamento della spesa</w:t>
            </w:r>
            <w:r w:rsidRPr="00776650">
              <w:footnoteReference w:id="2"/>
            </w:r>
          </w:p>
        </w:tc>
        <w:tc>
          <w:tcPr>
            <w:tcW w:w="3149" w:type="dxa"/>
            <w:shd w:val="clear" w:color="auto" w:fill="2E74B5" w:themeFill="accent1" w:themeFillShade="BF"/>
            <w:vAlign w:val="center"/>
          </w:tcPr>
          <w:p w:rsidR="00445918" w:rsidRPr="00776650" w:rsidRDefault="00445918" w:rsidP="00130D07">
            <w:r w:rsidRPr="00776650">
              <w:t>Importo acconto (€)</w:t>
            </w:r>
          </w:p>
        </w:tc>
      </w:tr>
      <w:tr w:rsidR="00445918" w:rsidRPr="00776650" w:rsidTr="00130D07">
        <w:tc>
          <w:tcPr>
            <w:tcW w:w="3268" w:type="dxa"/>
            <w:vAlign w:val="center"/>
          </w:tcPr>
          <w:p w:rsidR="00445918" w:rsidRPr="00776650" w:rsidRDefault="00445918" w:rsidP="00130D07">
            <w:r w:rsidRPr="00776650">
              <w:t>Spese di personale</w:t>
            </w:r>
          </w:p>
        </w:tc>
        <w:tc>
          <w:tcPr>
            <w:tcW w:w="3149" w:type="dxa"/>
            <w:vAlign w:val="center"/>
          </w:tcPr>
          <w:p w:rsidR="00445918" w:rsidRPr="00776650" w:rsidRDefault="00445918" w:rsidP="00130D07">
            <w:r w:rsidRPr="00776650">
              <w:t>Riportare l’importo totale del costo del personale quantificato in Allegato 4.1 B.</w:t>
            </w:r>
          </w:p>
        </w:tc>
        <w:tc>
          <w:tcPr>
            <w:tcW w:w="3149" w:type="dxa"/>
            <w:vMerge w:val="restart"/>
            <w:vAlign w:val="center"/>
          </w:tcPr>
          <w:p w:rsidR="00445918" w:rsidRPr="00776650" w:rsidRDefault="00445918" w:rsidP="00130D07">
            <w:r w:rsidRPr="00776650">
              <w:t xml:space="preserve">Riportare il valore del rapporto tra il totale dei costi sostenuti alla presentazione della presente richiesta di acconto e il totale dei costi ammissibili di progetto </w:t>
            </w:r>
          </w:p>
        </w:tc>
        <w:tc>
          <w:tcPr>
            <w:tcW w:w="3149" w:type="dxa"/>
            <w:vMerge w:val="restart"/>
            <w:vAlign w:val="center"/>
          </w:tcPr>
          <w:p w:rsidR="00445918" w:rsidRPr="00776650" w:rsidRDefault="00445918" w:rsidP="00130D07">
            <w:r w:rsidRPr="00776650">
              <w:t>Riportare l’importo del 10% a saldo dell’aiuto concesso</w:t>
            </w:r>
          </w:p>
        </w:tc>
      </w:tr>
      <w:tr w:rsidR="00445918" w:rsidRPr="00776650" w:rsidTr="00130D07">
        <w:tc>
          <w:tcPr>
            <w:tcW w:w="3268" w:type="dxa"/>
            <w:vAlign w:val="center"/>
          </w:tcPr>
          <w:p w:rsidR="00445918" w:rsidRPr="00776650" w:rsidRDefault="00445918" w:rsidP="00130D07">
            <w:r w:rsidRPr="00776650">
              <w:t>Costi relativi a strumentazione e attrezzature</w:t>
            </w:r>
          </w:p>
        </w:tc>
        <w:tc>
          <w:tcPr>
            <w:tcW w:w="3149" w:type="dxa"/>
            <w:vMerge w:val="restart"/>
            <w:vAlign w:val="center"/>
          </w:tcPr>
          <w:p w:rsidR="00445918" w:rsidRPr="00776650" w:rsidRDefault="00445918" w:rsidP="00130D07">
            <w:r w:rsidRPr="00776650">
              <w:t>Determinare l’importo in relazione al costo del personale sopra riportato in coerenza con quanto stabilito dall’art. 56 RDC.</w:t>
            </w:r>
          </w:p>
        </w:tc>
        <w:tc>
          <w:tcPr>
            <w:tcW w:w="3149" w:type="dxa"/>
            <w:vMerge/>
            <w:vAlign w:val="center"/>
          </w:tcPr>
          <w:p w:rsidR="00445918" w:rsidRPr="00776650" w:rsidRDefault="00445918" w:rsidP="00130D07"/>
        </w:tc>
        <w:tc>
          <w:tcPr>
            <w:tcW w:w="3149" w:type="dxa"/>
            <w:vMerge/>
            <w:vAlign w:val="center"/>
          </w:tcPr>
          <w:p w:rsidR="00445918" w:rsidRPr="00776650" w:rsidRDefault="00445918" w:rsidP="00130D07"/>
        </w:tc>
      </w:tr>
      <w:tr w:rsidR="00445918" w:rsidRPr="00776650" w:rsidTr="00130D07">
        <w:tc>
          <w:tcPr>
            <w:tcW w:w="3268" w:type="dxa"/>
            <w:vAlign w:val="center"/>
          </w:tcPr>
          <w:p w:rsidR="00445918" w:rsidRPr="00776650" w:rsidRDefault="00445918" w:rsidP="00130D07">
            <w:r w:rsidRPr="00776650">
              <w:t>Costi per la ricerca contrattuale, le conoscenze e i brevetti acquisiti o ottenuti in licenza da fonti esterne alle normali condizioni di mercato, nonché costi per i servizi di consulenza</w:t>
            </w:r>
          </w:p>
        </w:tc>
        <w:tc>
          <w:tcPr>
            <w:tcW w:w="3149" w:type="dxa"/>
            <w:vMerge/>
            <w:vAlign w:val="center"/>
          </w:tcPr>
          <w:p w:rsidR="00445918" w:rsidRPr="00776650" w:rsidRDefault="00445918" w:rsidP="00130D07"/>
        </w:tc>
        <w:tc>
          <w:tcPr>
            <w:tcW w:w="3149" w:type="dxa"/>
            <w:vMerge/>
            <w:vAlign w:val="center"/>
          </w:tcPr>
          <w:p w:rsidR="00445918" w:rsidRPr="00776650" w:rsidRDefault="00445918" w:rsidP="00130D07"/>
        </w:tc>
        <w:tc>
          <w:tcPr>
            <w:tcW w:w="3149" w:type="dxa"/>
            <w:vMerge/>
            <w:vAlign w:val="center"/>
          </w:tcPr>
          <w:p w:rsidR="00445918" w:rsidRPr="00776650" w:rsidRDefault="00445918" w:rsidP="00130D07"/>
        </w:tc>
      </w:tr>
      <w:tr w:rsidR="00445918" w:rsidRPr="00776650" w:rsidTr="00130D07">
        <w:tc>
          <w:tcPr>
            <w:tcW w:w="3268" w:type="dxa"/>
            <w:vAlign w:val="center"/>
          </w:tcPr>
          <w:p w:rsidR="00445918" w:rsidRPr="00776650" w:rsidRDefault="00445918" w:rsidP="00130D07">
            <w:r w:rsidRPr="00776650">
              <w:t>Altri costi di esercizio</w:t>
            </w:r>
          </w:p>
        </w:tc>
        <w:tc>
          <w:tcPr>
            <w:tcW w:w="3149" w:type="dxa"/>
            <w:vMerge/>
            <w:vAlign w:val="center"/>
          </w:tcPr>
          <w:p w:rsidR="00445918" w:rsidRPr="00776650" w:rsidRDefault="00445918" w:rsidP="00130D07"/>
        </w:tc>
        <w:tc>
          <w:tcPr>
            <w:tcW w:w="3149" w:type="dxa"/>
            <w:vMerge/>
            <w:vAlign w:val="center"/>
          </w:tcPr>
          <w:p w:rsidR="00445918" w:rsidRPr="00776650" w:rsidRDefault="00445918" w:rsidP="00130D07"/>
        </w:tc>
        <w:tc>
          <w:tcPr>
            <w:tcW w:w="3149" w:type="dxa"/>
            <w:vMerge/>
            <w:vAlign w:val="center"/>
          </w:tcPr>
          <w:p w:rsidR="00445918" w:rsidRPr="00776650" w:rsidRDefault="00445918" w:rsidP="00130D07"/>
        </w:tc>
      </w:tr>
      <w:tr w:rsidR="00445918" w:rsidRPr="00776650" w:rsidTr="00130D07">
        <w:tc>
          <w:tcPr>
            <w:tcW w:w="3268" w:type="dxa"/>
            <w:vAlign w:val="center"/>
          </w:tcPr>
          <w:p w:rsidR="00445918" w:rsidRPr="00776650" w:rsidRDefault="00445918" w:rsidP="00130D07">
            <w:r w:rsidRPr="00776650">
              <w:t>Spese generali supplementari</w:t>
            </w:r>
          </w:p>
        </w:tc>
        <w:tc>
          <w:tcPr>
            <w:tcW w:w="3149" w:type="dxa"/>
            <w:vMerge/>
            <w:vAlign w:val="center"/>
          </w:tcPr>
          <w:p w:rsidR="00445918" w:rsidRPr="00776650" w:rsidRDefault="00445918" w:rsidP="00130D07"/>
        </w:tc>
        <w:tc>
          <w:tcPr>
            <w:tcW w:w="3149" w:type="dxa"/>
            <w:vMerge/>
          </w:tcPr>
          <w:p w:rsidR="00445918" w:rsidRPr="00776650" w:rsidRDefault="00445918" w:rsidP="00130D07"/>
        </w:tc>
        <w:tc>
          <w:tcPr>
            <w:tcW w:w="3149" w:type="dxa"/>
            <w:vMerge/>
            <w:vAlign w:val="center"/>
          </w:tcPr>
          <w:p w:rsidR="00445918" w:rsidRPr="00776650" w:rsidRDefault="00445918" w:rsidP="00130D07"/>
        </w:tc>
      </w:tr>
      <w:tr w:rsidR="00445918" w:rsidRPr="00776650" w:rsidTr="00130D07">
        <w:tc>
          <w:tcPr>
            <w:tcW w:w="3268" w:type="dxa"/>
            <w:shd w:val="clear" w:color="auto" w:fill="2E74B5" w:themeFill="accent1" w:themeFillShade="BF"/>
          </w:tcPr>
          <w:p w:rsidR="00445918" w:rsidRPr="00776650" w:rsidRDefault="00445918" w:rsidP="00130D07">
            <w:r w:rsidRPr="00776650">
              <w:t>Totale</w:t>
            </w:r>
          </w:p>
        </w:tc>
        <w:tc>
          <w:tcPr>
            <w:tcW w:w="3149" w:type="dxa"/>
            <w:shd w:val="clear" w:color="auto" w:fill="2E74B5" w:themeFill="accent1" w:themeFillShade="BF"/>
          </w:tcPr>
          <w:p w:rsidR="00445918" w:rsidRPr="00776650" w:rsidRDefault="00445918" w:rsidP="00130D07"/>
        </w:tc>
        <w:tc>
          <w:tcPr>
            <w:tcW w:w="3149" w:type="dxa"/>
            <w:shd w:val="clear" w:color="auto" w:fill="2E74B5" w:themeFill="accent1" w:themeFillShade="BF"/>
          </w:tcPr>
          <w:p w:rsidR="00445918" w:rsidRPr="00776650" w:rsidRDefault="00445918" w:rsidP="00130D07"/>
        </w:tc>
        <w:tc>
          <w:tcPr>
            <w:tcW w:w="3149" w:type="dxa"/>
            <w:shd w:val="clear" w:color="auto" w:fill="2E74B5" w:themeFill="accent1" w:themeFillShade="BF"/>
          </w:tcPr>
          <w:p w:rsidR="00445918" w:rsidRPr="00776650" w:rsidRDefault="00445918" w:rsidP="00130D07"/>
        </w:tc>
      </w:tr>
    </w:tbl>
    <w:p w:rsidR="005C5DB1" w:rsidRDefault="005C5DB1"/>
    <w:sectPr w:rsidR="005C5DB1" w:rsidSect="0044591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98" w:rsidRDefault="00E90F98" w:rsidP="00445918">
      <w:pPr>
        <w:spacing w:after="0" w:line="240" w:lineRule="auto"/>
      </w:pPr>
      <w:r>
        <w:separator/>
      </w:r>
    </w:p>
  </w:endnote>
  <w:endnote w:type="continuationSeparator" w:id="0">
    <w:p w:rsidR="00E90F98" w:rsidRDefault="00E90F98" w:rsidP="0044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98" w:rsidRDefault="00E90F98" w:rsidP="00445918">
      <w:pPr>
        <w:spacing w:after="0" w:line="240" w:lineRule="auto"/>
      </w:pPr>
      <w:r>
        <w:separator/>
      </w:r>
    </w:p>
  </w:footnote>
  <w:footnote w:type="continuationSeparator" w:id="0">
    <w:p w:rsidR="00E90F98" w:rsidRDefault="00E90F98" w:rsidP="00445918">
      <w:pPr>
        <w:spacing w:after="0" w:line="240" w:lineRule="auto"/>
      </w:pPr>
      <w:r>
        <w:continuationSeparator/>
      </w:r>
    </w:p>
  </w:footnote>
  <w:footnote w:id="1">
    <w:p w:rsidR="00445918" w:rsidRPr="00776650" w:rsidRDefault="00445918" w:rsidP="00445918">
      <w:r w:rsidRPr="00776650">
        <w:footnoteRef/>
      </w:r>
      <w:r w:rsidRPr="00776650">
        <w:t xml:space="preserve"> </w:t>
      </w:r>
      <w:r w:rsidRPr="00776650">
        <w:tab/>
        <w:t>Dati cumulativi, cioè riferiti alla totalità delle attività progettuali oggetto di finanziamento.</w:t>
      </w:r>
    </w:p>
  </w:footnote>
  <w:footnote w:id="2">
    <w:p w:rsidR="00445918" w:rsidRPr="00776650" w:rsidRDefault="00445918" w:rsidP="00445918">
      <w:r w:rsidRPr="00776650">
        <w:footnoteRef/>
      </w:r>
      <w:r w:rsidRPr="00776650">
        <w:t xml:space="preserve"> </w:t>
      </w:r>
      <w:r w:rsidRPr="00776650">
        <w:tab/>
        <w:t xml:space="preserve">L’Avanzamento della spesa che consente di ottenere un ulteriore 50% dell’aiuto concesso è pari al 50% dei costi totali di progetto (cfr. par. 4.11 comma 1 </w:t>
      </w:r>
      <w:proofErr w:type="spellStart"/>
      <w:r w:rsidRPr="00776650">
        <w:t>lett</w:t>
      </w:r>
      <w:proofErr w:type="spellEnd"/>
      <w:r w:rsidRPr="00776650">
        <w:t>.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18" w:rsidRDefault="00445918">
    <w:pPr>
      <w:pStyle w:val="Intestazione"/>
    </w:pPr>
    <w:r w:rsidRPr="00776650">
      <w:drawing>
        <wp:anchor distT="0" distB="0" distL="114300" distR="114300" simplePos="0" relativeHeight="251659264" behindDoc="1" locked="0" layoutInCell="1" allowOverlap="1" wp14:anchorId="21257DB8" wp14:editId="3654BF5B">
          <wp:simplePos x="0" y="0"/>
          <wp:positionH relativeFrom="margin">
            <wp:posOffset>-432487</wp:posOffset>
          </wp:positionH>
          <wp:positionV relativeFrom="paragraph">
            <wp:posOffset>-359256</wp:posOffset>
          </wp:positionV>
          <wp:extent cx="6479540" cy="631825"/>
          <wp:effectExtent l="0" t="0" r="0" b="0"/>
          <wp:wrapTight wrapText="bothSides">
            <wp:wrapPolygon edited="0">
              <wp:start x="1143" y="3908"/>
              <wp:lineTo x="1080" y="18235"/>
              <wp:lineTo x="17527" y="18235"/>
              <wp:lineTo x="17718" y="15630"/>
              <wp:lineTo x="19877" y="15630"/>
              <wp:lineTo x="19877" y="7164"/>
              <wp:lineTo x="17464" y="3908"/>
              <wp:lineTo x="1143" y="3908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18"/>
    <w:rsid w:val="00161CDB"/>
    <w:rsid w:val="00445918"/>
    <w:rsid w:val="00584123"/>
    <w:rsid w:val="005C5DB1"/>
    <w:rsid w:val="00750CAA"/>
    <w:rsid w:val="00CE1E8C"/>
    <w:rsid w:val="00E364B3"/>
    <w:rsid w:val="00E90F98"/>
    <w:rsid w:val="00F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D2C8"/>
  <w15:chartTrackingRefBased/>
  <w15:docId w15:val="{4DC351F7-AD38-45A6-BB29-E32540A8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9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5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918"/>
  </w:style>
  <w:style w:type="paragraph" w:styleId="Pidipagina">
    <w:name w:val="footer"/>
    <w:basedOn w:val="Normale"/>
    <w:link w:val="PidipaginaCarattere"/>
    <w:uiPriority w:val="99"/>
    <w:unhideWhenUsed/>
    <w:rsid w:val="00445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pietro.alfarano</dc:creator>
  <cp:keywords/>
  <dc:description/>
  <cp:lastModifiedBy>pietro.alfarano</cp:lastModifiedBy>
  <cp:revision>1</cp:revision>
  <dcterms:created xsi:type="dcterms:W3CDTF">2024-03-15T09:35:00Z</dcterms:created>
  <dcterms:modified xsi:type="dcterms:W3CDTF">2024-03-15T09:36:00Z</dcterms:modified>
</cp:coreProperties>
</file>