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E5F90" w14:textId="77777777" w:rsidR="00294D36" w:rsidRDefault="00294D36" w:rsidP="00294D36">
      <w:pPr>
        <w:pStyle w:val="Default"/>
        <w:ind w:hanging="2"/>
        <w:jc w:val="right"/>
        <w:rPr>
          <w:rFonts w:ascii="Titillium Web" w:hAnsi="Titillium Web"/>
          <w:b/>
          <w:bCs/>
          <w:sz w:val="23"/>
          <w:szCs w:val="23"/>
        </w:rPr>
      </w:pPr>
      <w:bookmarkStart w:id="0" w:name="_Hlk164374541"/>
    </w:p>
    <w:p w14:paraId="4FE2FE50" w14:textId="77777777" w:rsidR="00712476" w:rsidRDefault="00712476" w:rsidP="00294D36">
      <w:pPr>
        <w:pStyle w:val="Default"/>
        <w:ind w:hanging="2"/>
        <w:jc w:val="right"/>
        <w:rPr>
          <w:rFonts w:ascii="Titillium Web" w:hAnsi="Titillium Web"/>
          <w:b/>
          <w:bCs/>
          <w:sz w:val="23"/>
          <w:szCs w:val="23"/>
        </w:rPr>
      </w:pPr>
    </w:p>
    <w:p w14:paraId="26A95346" w14:textId="77777777" w:rsidR="00712476" w:rsidRDefault="00712476" w:rsidP="00294D36">
      <w:pPr>
        <w:pStyle w:val="Default"/>
        <w:ind w:hanging="2"/>
        <w:jc w:val="right"/>
        <w:rPr>
          <w:rFonts w:ascii="Titillium Web" w:hAnsi="Titillium Web"/>
          <w:b/>
          <w:bCs/>
          <w:sz w:val="23"/>
          <w:szCs w:val="23"/>
        </w:rPr>
      </w:pPr>
    </w:p>
    <w:p w14:paraId="326A5D9D" w14:textId="77777777" w:rsidR="00712476" w:rsidRPr="00012A0A" w:rsidRDefault="00712476" w:rsidP="00294D36">
      <w:pPr>
        <w:pStyle w:val="Default"/>
        <w:ind w:hanging="2"/>
        <w:jc w:val="right"/>
        <w:rPr>
          <w:rFonts w:ascii="Titillium Web" w:hAnsi="Titillium Web"/>
          <w:b/>
          <w:bCs/>
          <w:sz w:val="23"/>
          <w:szCs w:val="23"/>
        </w:rPr>
      </w:pPr>
    </w:p>
    <w:p w14:paraId="3EA4FF2A" w14:textId="77777777" w:rsidR="00294D36" w:rsidRPr="00012A0A" w:rsidRDefault="00294D36" w:rsidP="00294D36">
      <w:pPr>
        <w:ind w:left="0" w:hanging="2"/>
        <w:jc w:val="center"/>
        <w:rPr>
          <w:rFonts w:ascii="Titillium Web" w:hAnsi="Titillium Web"/>
        </w:rPr>
      </w:pPr>
    </w:p>
    <w:p w14:paraId="5ADDBEA8" w14:textId="77777777" w:rsidR="00294D36" w:rsidRPr="00012A0A" w:rsidRDefault="00294D36" w:rsidP="00294D36">
      <w:pPr>
        <w:pStyle w:val="Titolo"/>
        <w:pBdr>
          <w:bottom w:val="none" w:sz="0" w:space="0" w:color="auto"/>
        </w:pBdr>
        <w:spacing w:after="0"/>
        <w:ind w:hanging="2"/>
        <w:rPr>
          <w:rFonts w:ascii="Titillium Web" w:hAnsi="Titillium Web" w:cs="Calibri"/>
          <w:b/>
          <w:bCs/>
        </w:rPr>
      </w:pPr>
      <w:r w:rsidRPr="00012A0A">
        <w:rPr>
          <w:rFonts w:ascii="Titillium Web" w:hAnsi="Titillium Web" w:cs="Calibri"/>
          <w:b/>
          <w:bCs/>
        </w:rPr>
        <w:t>PR Calabria FESR FSE+ 2021-2027</w:t>
      </w:r>
    </w:p>
    <w:p w14:paraId="07E8090D" w14:textId="77777777" w:rsidR="00294D36" w:rsidRPr="00012A0A" w:rsidRDefault="00294D36" w:rsidP="00294D36">
      <w:pPr>
        <w:ind w:left="0" w:hanging="2"/>
        <w:jc w:val="center"/>
        <w:rPr>
          <w:rFonts w:ascii="Titillium Web" w:hAnsi="Titillium Web"/>
          <w:color w:val="1F4E79" w:themeColor="accent5" w:themeShade="80"/>
        </w:rPr>
      </w:pPr>
    </w:p>
    <w:p w14:paraId="6BAFFF47" w14:textId="77777777" w:rsidR="00294D36" w:rsidRDefault="00294D36" w:rsidP="00294D36">
      <w:pPr>
        <w:ind w:left="0" w:hanging="2"/>
        <w:jc w:val="center"/>
        <w:rPr>
          <w:rFonts w:ascii="Titillium Web" w:hAnsi="Titillium Web"/>
          <w:color w:val="1F4E79" w:themeColor="accent5" w:themeShade="80"/>
        </w:rPr>
      </w:pPr>
    </w:p>
    <w:p w14:paraId="168B19B3" w14:textId="77777777" w:rsidR="00712476" w:rsidRDefault="00712476" w:rsidP="00294D36">
      <w:pPr>
        <w:ind w:left="0" w:hanging="2"/>
        <w:jc w:val="center"/>
        <w:rPr>
          <w:rFonts w:ascii="Titillium Web" w:hAnsi="Titillium Web"/>
          <w:color w:val="1F4E79" w:themeColor="accent5" w:themeShade="80"/>
        </w:rPr>
      </w:pPr>
    </w:p>
    <w:p w14:paraId="61959AD6" w14:textId="77777777" w:rsidR="00712476" w:rsidRPr="00012A0A" w:rsidRDefault="00712476" w:rsidP="00294D36">
      <w:pPr>
        <w:ind w:left="0" w:hanging="2"/>
        <w:jc w:val="center"/>
        <w:rPr>
          <w:rFonts w:ascii="Titillium Web" w:hAnsi="Titillium Web"/>
          <w:color w:val="1F4E79" w:themeColor="accent5" w:themeShade="80"/>
        </w:rPr>
      </w:pPr>
    </w:p>
    <w:p w14:paraId="59E1328A" w14:textId="77777777" w:rsidR="00294D36" w:rsidRPr="00012A0A" w:rsidRDefault="00294D36" w:rsidP="00294D36">
      <w:pPr>
        <w:spacing w:after="240"/>
        <w:ind w:left="1" w:hanging="3"/>
        <w:jc w:val="center"/>
        <w:rPr>
          <w:rFonts w:ascii="Titillium Web" w:eastAsiaTheme="majorEastAsia" w:hAnsi="Titillium Web"/>
          <w:color w:val="1F4E79" w:themeColor="accent5" w:themeShade="80"/>
          <w:spacing w:val="5"/>
          <w:kern w:val="28"/>
          <w:sz w:val="32"/>
          <w:szCs w:val="32"/>
        </w:rPr>
      </w:pPr>
      <w:r w:rsidRPr="00012A0A">
        <w:rPr>
          <w:rFonts w:ascii="Titillium Web" w:eastAsiaTheme="majorEastAsia" w:hAnsi="Titillium Web"/>
          <w:color w:val="1F4E79" w:themeColor="accent5" w:themeShade="80"/>
          <w:spacing w:val="5"/>
          <w:kern w:val="28"/>
          <w:sz w:val="32"/>
          <w:szCs w:val="32"/>
        </w:rPr>
        <w:t>Priorità: 2. Una Calabria resiliente e sostenibile</w:t>
      </w:r>
    </w:p>
    <w:p w14:paraId="2F5CB9C4" w14:textId="77777777" w:rsidR="00294D36" w:rsidRPr="00012A0A" w:rsidRDefault="00294D36" w:rsidP="00294D36">
      <w:pPr>
        <w:pStyle w:val="Titolo"/>
        <w:pBdr>
          <w:bottom w:val="none" w:sz="0" w:space="0" w:color="auto"/>
        </w:pBdr>
        <w:ind w:left="1" w:hanging="3"/>
        <w:rPr>
          <w:rFonts w:ascii="Titillium Web" w:hAnsi="Titillium Web" w:cs="Calibri"/>
          <w:sz w:val="32"/>
          <w:szCs w:val="32"/>
        </w:rPr>
      </w:pPr>
      <w:r w:rsidRPr="00012A0A">
        <w:rPr>
          <w:rFonts w:ascii="Titillium Web" w:hAnsi="Titillium Web" w:cs="Calibri"/>
          <w:sz w:val="32"/>
          <w:szCs w:val="32"/>
        </w:rPr>
        <w:t>RSO2.6. Promuovere la transizione verso un'economia circolare ed efficiente sotto il profilo delle risorse</w:t>
      </w:r>
    </w:p>
    <w:p w14:paraId="134F61AF" w14:textId="77777777" w:rsidR="00294D36" w:rsidRPr="00012A0A" w:rsidRDefault="00294D36" w:rsidP="00294D36">
      <w:pPr>
        <w:ind w:left="1" w:hanging="3"/>
        <w:jc w:val="center"/>
        <w:rPr>
          <w:rFonts w:ascii="Titillium Web" w:eastAsiaTheme="majorEastAsia" w:hAnsi="Titillium Web"/>
          <w:color w:val="1F4E79" w:themeColor="accent5" w:themeShade="80"/>
          <w:spacing w:val="5"/>
          <w:kern w:val="28"/>
          <w:sz w:val="32"/>
          <w:szCs w:val="32"/>
        </w:rPr>
      </w:pPr>
      <w:r w:rsidRPr="00012A0A">
        <w:rPr>
          <w:rFonts w:ascii="Titillium Web" w:eastAsiaTheme="majorEastAsia" w:hAnsi="Titillium Web"/>
          <w:color w:val="1F4E79" w:themeColor="accent5" w:themeShade="80"/>
          <w:spacing w:val="5"/>
          <w:kern w:val="28"/>
          <w:sz w:val="32"/>
          <w:szCs w:val="32"/>
        </w:rPr>
        <w:t>Azione 2.6.1 Azioni finalizzate alla prevenzione e riduzione dei rifiuti</w:t>
      </w:r>
    </w:p>
    <w:p w14:paraId="67632301" w14:textId="77777777" w:rsidR="00294D36" w:rsidRPr="00012A0A" w:rsidRDefault="00294D36" w:rsidP="00294D36">
      <w:pPr>
        <w:ind w:left="0" w:hanging="2"/>
        <w:jc w:val="center"/>
        <w:rPr>
          <w:rFonts w:ascii="Titillium Web" w:hAnsi="Titillium Web"/>
        </w:rPr>
      </w:pPr>
    </w:p>
    <w:p w14:paraId="6142D28D" w14:textId="77777777" w:rsidR="00294D36" w:rsidRDefault="00294D36" w:rsidP="00294D36">
      <w:pPr>
        <w:ind w:left="0" w:hanging="2"/>
        <w:jc w:val="center"/>
        <w:rPr>
          <w:rFonts w:ascii="Titillium Web" w:hAnsi="Titillium Web"/>
        </w:rPr>
      </w:pPr>
    </w:p>
    <w:p w14:paraId="47C325E9" w14:textId="77777777" w:rsidR="00712476" w:rsidRPr="00012A0A" w:rsidRDefault="00712476" w:rsidP="00294D36">
      <w:pPr>
        <w:ind w:left="0" w:hanging="2"/>
        <w:jc w:val="center"/>
        <w:rPr>
          <w:rFonts w:ascii="Titillium Web" w:hAnsi="Titillium Web"/>
        </w:rPr>
      </w:pPr>
    </w:p>
    <w:p w14:paraId="5B94485B" w14:textId="77777777" w:rsidR="00294D36" w:rsidRPr="00012A0A" w:rsidRDefault="00294D36" w:rsidP="00294D36">
      <w:pPr>
        <w:ind w:left="0" w:hanging="2"/>
        <w:jc w:val="center"/>
        <w:rPr>
          <w:rFonts w:ascii="Titillium Web" w:hAnsi="Titillium Web"/>
        </w:rPr>
      </w:pPr>
    </w:p>
    <w:p w14:paraId="62A8C2CB" w14:textId="77777777" w:rsidR="00294D36" w:rsidRPr="00012A0A" w:rsidRDefault="00294D36" w:rsidP="00294D36">
      <w:pPr>
        <w:ind w:left="0" w:hanging="2"/>
        <w:jc w:val="center"/>
        <w:rPr>
          <w:rFonts w:ascii="Titillium Web" w:hAnsi="Titillium Web"/>
        </w:rPr>
      </w:pPr>
    </w:p>
    <w:p w14:paraId="12486B01" w14:textId="47BCC3D4" w:rsidR="00921385" w:rsidRDefault="00921385" w:rsidP="00294D36">
      <w:pPr>
        <w:ind w:left="2" w:hanging="4"/>
        <w:jc w:val="center"/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position w:val="0"/>
          <w:sz w:val="40"/>
          <w:szCs w:val="40"/>
          <w:lang w:eastAsia="en-US"/>
        </w:rPr>
      </w:pPr>
      <w:r w:rsidRPr="00921385">
        <w:rPr>
          <w:rFonts w:ascii="Titillium Web" w:eastAsiaTheme="majorEastAsia" w:hAnsi="Titillium Web"/>
          <w:b/>
          <w:bCs/>
          <w:i/>
          <w:iCs/>
          <w:color w:val="1F4E79" w:themeColor="accent5" w:themeShade="80"/>
          <w:spacing w:val="5"/>
          <w:kern w:val="28"/>
          <w:position w:val="0"/>
          <w:sz w:val="40"/>
          <w:szCs w:val="40"/>
          <w:lang w:eastAsia="en-US"/>
        </w:rPr>
        <w:t>Avviso pubblico per la prevenzione e riduzione di rifiuti</w:t>
      </w:r>
      <w:r w:rsidRPr="00921385"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position w:val="0"/>
          <w:sz w:val="40"/>
          <w:szCs w:val="40"/>
          <w:lang w:eastAsia="en-US"/>
        </w:rPr>
        <w:t xml:space="preserve"> </w:t>
      </w:r>
    </w:p>
    <w:p w14:paraId="2FB16FDD" w14:textId="77777777" w:rsidR="00921385" w:rsidRPr="00921385" w:rsidRDefault="00921385" w:rsidP="00294D36">
      <w:pPr>
        <w:ind w:left="2" w:hanging="4"/>
        <w:jc w:val="center"/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position w:val="0"/>
          <w:sz w:val="40"/>
          <w:szCs w:val="40"/>
          <w:lang w:eastAsia="en-US"/>
        </w:rPr>
      </w:pPr>
    </w:p>
    <w:p w14:paraId="59CF24FF" w14:textId="58A02215" w:rsidR="00294D36" w:rsidRPr="00921385" w:rsidRDefault="00294D36" w:rsidP="00294D36">
      <w:pPr>
        <w:ind w:left="2" w:hanging="4"/>
        <w:jc w:val="center"/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36"/>
          <w:szCs w:val="36"/>
        </w:rPr>
      </w:pPr>
      <w:r w:rsidRPr="00921385"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36"/>
          <w:szCs w:val="36"/>
        </w:rPr>
        <w:t xml:space="preserve">Allegato 4a – Verifica Climatica </w:t>
      </w:r>
      <w:r w:rsidR="00012A0A" w:rsidRPr="00921385">
        <w:rPr>
          <w:rFonts w:ascii="Titillium Web" w:eastAsiaTheme="majorEastAsia" w:hAnsi="Titillium Web"/>
          <w:b/>
          <w:bCs/>
          <w:color w:val="1F4E79" w:themeColor="accent5" w:themeShade="80"/>
          <w:spacing w:val="5"/>
          <w:kern w:val="28"/>
          <w:sz w:val="36"/>
          <w:szCs w:val="36"/>
        </w:rPr>
        <w:t>Modulo C</w:t>
      </w:r>
    </w:p>
    <w:p w14:paraId="14D69A1A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  <w:bookmarkStart w:id="1" w:name="_Hlk164407418"/>
    </w:p>
    <w:p w14:paraId="1C736951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090F7112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0C58E67D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0F5FCCEE" w14:textId="30ED81DF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229C19E9" w14:textId="599AC793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21E73AA1" w14:textId="3EC0FF5D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0D117A90" w14:textId="7297AFBD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403DE62A" w14:textId="21B3A084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0321B7D5" w14:textId="3F960B9E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7A4890CD" w14:textId="4CE80899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7C9EC6CC" w14:textId="723D6B8E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395412B5" w14:textId="77777777" w:rsidR="00AE5B8F" w:rsidRDefault="00AE5B8F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2B85E54A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5F3FA3D0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653FC06A" w14:textId="77777777" w:rsidR="005B62D0" w:rsidRDefault="005B62D0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</w:p>
    <w:p w14:paraId="7C2CBD66" w14:textId="6DAD36BD" w:rsidR="00394D79" w:rsidRPr="00BC58F2" w:rsidRDefault="00394D79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34" w:hanging="3"/>
        <w:jc w:val="center"/>
        <w:rPr>
          <w:rFonts w:ascii="Titillium Web" w:hAnsi="Titillium Web" w:cstheme="majorBidi"/>
          <w:color w:val="1F4E79" w:themeColor="accent5" w:themeShade="80"/>
          <w:sz w:val="32"/>
          <w:szCs w:val="32"/>
        </w:rPr>
      </w:pPr>
      <w:bookmarkStart w:id="2" w:name="_GoBack"/>
      <w:bookmarkEnd w:id="2"/>
      <w:r w:rsidRPr="00BC58F2">
        <w:rPr>
          <w:rFonts w:ascii="Titillium Web" w:hAnsi="Titillium Web" w:cstheme="majorBidi"/>
          <w:color w:val="1F4E79" w:themeColor="accent5" w:themeShade="80"/>
          <w:sz w:val="32"/>
          <w:szCs w:val="32"/>
        </w:rPr>
        <w:lastRenderedPageBreak/>
        <w:t>MODELLO DI AUTODICHIARAZIONE CLIMATE PROOFING</w:t>
      </w:r>
    </w:p>
    <w:p w14:paraId="5B6AFA7F" w14:textId="27EF0FC9" w:rsidR="00394D79" w:rsidRPr="00BC58F2" w:rsidRDefault="00394D79" w:rsidP="00394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rFonts w:ascii="Titillium Web" w:hAnsi="Titillium Web" w:cstheme="majorBidi"/>
          <w:b/>
          <w:color w:val="1F4E79" w:themeColor="accent5" w:themeShade="80"/>
          <w:szCs w:val="24"/>
        </w:rPr>
      </w:pPr>
      <w:r w:rsidRPr="00BC58F2">
        <w:rPr>
          <w:rFonts w:ascii="Titillium Web" w:hAnsi="Titillium Web" w:cstheme="majorBidi"/>
          <w:b/>
          <w:color w:val="1F4E79" w:themeColor="accent5" w:themeShade="80"/>
          <w:szCs w:val="24"/>
        </w:rPr>
        <w:t xml:space="preserve">ADATTAMENTO AI CAMBIAMENTI CLIMATICI </w:t>
      </w:r>
    </w:p>
    <w:p w14:paraId="3218D180" w14:textId="77777777" w:rsidR="00394D79" w:rsidRPr="00BC58F2" w:rsidRDefault="00394D79" w:rsidP="00394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rFonts w:ascii="Titillium Web" w:hAnsi="Titillium Web" w:cstheme="majorBidi"/>
          <w:b/>
          <w:color w:val="1F4E79" w:themeColor="accent5" w:themeShade="80"/>
          <w:szCs w:val="24"/>
        </w:rPr>
      </w:pPr>
      <w:r w:rsidRPr="00BC58F2">
        <w:rPr>
          <w:rFonts w:ascii="Titillium Web" w:hAnsi="Titillium Web" w:cstheme="majorBidi"/>
          <w:b/>
          <w:color w:val="1F4E79" w:themeColor="accent5" w:themeShade="80"/>
          <w:szCs w:val="24"/>
        </w:rPr>
        <w:t>FASE – SCREENING</w:t>
      </w:r>
    </w:p>
    <w:p w14:paraId="49FE6715" w14:textId="4F27BFB2" w:rsidR="00394D79" w:rsidRPr="00BC58F2" w:rsidRDefault="00394D79" w:rsidP="00394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rFonts w:ascii="Titillium Web" w:hAnsi="Titillium Web" w:cstheme="majorBidi"/>
          <w:color w:val="1F4E79" w:themeColor="accent5" w:themeShade="80"/>
          <w:szCs w:val="24"/>
        </w:rPr>
      </w:pPr>
      <w:r w:rsidRPr="00BC58F2">
        <w:rPr>
          <w:rFonts w:ascii="Titillium Web" w:hAnsi="Titillium Web" w:cstheme="majorBidi"/>
          <w:b/>
          <w:bCs/>
          <w:caps/>
          <w:color w:val="1F4E79" w:themeColor="accent5" w:themeShade="80"/>
          <w:szCs w:val="24"/>
        </w:rPr>
        <w:t xml:space="preserve">AZIONE </w:t>
      </w:r>
      <w:r w:rsidR="00BC58F2">
        <w:rPr>
          <w:rFonts w:ascii="Titillium Web" w:hAnsi="Titillium Web" w:cstheme="majorBidi"/>
          <w:b/>
          <w:bCs/>
          <w:caps/>
          <w:color w:val="1F4E79" w:themeColor="accent5" w:themeShade="80"/>
          <w:szCs w:val="24"/>
        </w:rPr>
        <w:t>2.</w:t>
      </w:r>
      <w:r w:rsidR="00565A32">
        <w:rPr>
          <w:rFonts w:ascii="Titillium Web" w:hAnsi="Titillium Web" w:cstheme="majorBidi"/>
          <w:b/>
          <w:bCs/>
          <w:caps/>
          <w:color w:val="1F4E79" w:themeColor="accent5" w:themeShade="80"/>
          <w:szCs w:val="24"/>
        </w:rPr>
        <w:t>6</w:t>
      </w:r>
      <w:r w:rsidR="00BC58F2">
        <w:rPr>
          <w:rFonts w:ascii="Titillium Web" w:hAnsi="Titillium Web" w:cstheme="majorBidi"/>
          <w:b/>
          <w:bCs/>
          <w:caps/>
          <w:color w:val="1F4E79" w:themeColor="accent5" w:themeShade="80"/>
          <w:szCs w:val="24"/>
        </w:rPr>
        <w:t>.1</w:t>
      </w:r>
      <w:r w:rsidR="00565A32" w:rsidRPr="00565A32">
        <w:t xml:space="preserve"> </w:t>
      </w:r>
      <w:r w:rsidR="00565A32" w:rsidRPr="00565A32">
        <w:rPr>
          <w:rFonts w:ascii="Titillium Web" w:hAnsi="Titillium Web" w:cstheme="majorBidi"/>
          <w:b/>
          <w:bCs/>
          <w:caps/>
          <w:color w:val="1F4E79" w:themeColor="accent5" w:themeShade="80"/>
          <w:szCs w:val="24"/>
        </w:rPr>
        <w:t>Azioni finalizzate alla prevenzione e riduzione dei rifiuti</w:t>
      </w:r>
      <w:r w:rsidR="00BC58F2">
        <w:rPr>
          <w:rFonts w:ascii="Titillium Web" w:hAnsi="Titillium Web" w:cstheme="majorBidi"/>
          <w:b/>
          <w:bCs/>
          <w:caps/>
          <w:color w:val="1F4E79" w:themeColor="accent5" w:themeShade="80"/>
          <w:szCs w:val="24"/>
        </w:rPr>
        <w:t xml:space="preserve"> </w:t>
      </w:r>
      <w:r w:rsidRPr="00BC58F2">
        <w:rPr>
          <w:rFonts w:ascii="Titillium Web" w:hAnsi="Titillium Web" w:cstheme="majorBidi"/>
          <w:color w:val="1F4E79" w:themeColor="accent5" w:themeShade="80"/>
          <w:szCs w:val="24"/>
        </w:rPr>
        <w:t xml:space="preserve"> </w:t>
      </w:r>
    </w:p>
    <w:bookmarkEnd w:id="1"/>
    <w:p w14:paraId="692C11FA" w14:textId="77777777" w:rsidR="004A46B9" w:rsidRPr="00012A0A" w:rsidRDefault="004A46B9" w:rsidP="00A14E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tillium Web" w:hAnsi="Titillium Web" w:cstheme="majorBidi"/>
          <w:color w:val="0070C0"/>
          <w:sz w:val="20"/>
        </w:rPr>
      </w:pPr>
    </w:p>
    <w:p w14:paraId="692C11FB" w14:textId="77777777" w:rsidR="004A46B9" w:rsidRPr="00012A0A" w:rsidRDefault="004A46B9" w:rsidP="00BA7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rFonts w:ascii="Titillium Web" w:hAnsi="Titillium Web" w:cstheme="majorBidi"/>
          <w:b/>
          <w:color w:val="000000"/>
          <w:szCs w:val="24"/>
        </w:rPr>
      </w:pPr>
      <w:r w:rsidRPr="00012A0A">
        <w:rPr>
          <w:rFonts w:ascii="Titillium Web" w:hAnsi="Titillium Web" w:cstheme="majorBidi"/>
          <w:b/>
          <w:color w:val="000000"/>
          <w:szCs w:val="24"/>
        </w:rPr>
        <w:t>Dichiarazione sostitutiva di atto di notorietà</w:t>
      </w:r>
    </w:p>
    <w:p w14:paraId="692C11FC" w14:textId="77777777" w:rsidR="004A46B9" w:rsidRPr="00012A0A" w:rsidRDefault="004A46B9" w:rsidP="00BA77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rFonts w:ascii="Titillium Web" w:hAnsi="Titillium Web" w:cstheme="majorBidi"/>
          <w:color w:val="000000"/>
          <w:szCs w:val="24"/>
        </w:rPr>
      </w:pPr>
      <w:r w:rsidRPr="00012A0A">
        <w:rPr>
          <w:rFonts w:ascii="Titillium Web" w:hAnsi="Titillium Web" w:cstheme="majorBidi"/>
          <w:color w:val="000000"/>
          <w:szCs w:val="24"/>
        </w:rPr>
        <w:t>(artt. 46 e 47 D.P.R. 28 dicembre 2000, n. 445)</w:t>
      </w:r>
    </w:p>
    <w:p w14:paraId="692C11FD" w14:textId="77777777" w:rsidR="004A46B9" w:rsidRPr="00012A0A" w:rsidRDefault="004A46B9" w:rsidP="00A14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tillium Web" w:hAnsi="Titillium Web" w:cstheme="majorBidi"/>
          <w:szCs w:val="24"/>
        </w:rPr>
      </w:pPr>
    </w:p>
    <w:p w14:paraId="692C120C" w14:textId="599409B7" w:rsidR="004516D9" w:rsidRPr="00012A0A" w:rsidRDefault="00C94DF9" w:rsidP="00C94DF9">
      <w:pPr>
        <w:spacing w:line="276" w:lineRule="auto"/>
        <w:ind w:left="0" w:right="-1" w:hanging="2"/>
        <w:jc w:val="both"/>
        <w:rPr>
          <w:rFonts w:ascii="Titillium Web" w:hAnsi="Titillium Web" w:cstheme="majorBidi"/>
          <w:color w:val="000000"/>
          <w:szCs w:val="24"/>
        </w:rPr>
      </w:pPr>
      <w:r w:rsidRPr="00C94DF9">
        <w:rPr>
          <w:rFonts w:ascii="Titillium Web" w:hAnsi="Titillium Web" w:cstheme="majorBidi"/>
        </w:rPr>
        <w:t xml:space="preserve">Il/La Sottoscritto/a __________________________ nato/a ___________________(____) il _____________, residente a _____________________________ (_____) in _________________________ Codice Fiscale _______________________________, domiciliato/a per la carica presso la sede legale sotto indicata, nella qualità di ___________ e come tale, legale </w:t>
      </w:r>
      <w:r>
        <w:rPr>
          <w:rFonts w:ascii="Titillium Web" w:hAnsi="Titillium Web" w:cstheme="majorBidi"/>
        </w:rPr>
        <w:t>rappresentante pro tempore del Comune/dell’Unione di Comuni/Associazione di C</w:t>
      </w:r>
      <w:r w:rsidRPr="00C94DF9">
        <w:rPr>
          <w:rFonts w:ascii="Titillium Web" w:hAnsi="Titillium Web" w:cstheme="majorBidi"/>
        </w:rPr>
        <w:t>omuni di ______________con sede in ____________, Via____________,  n. _____, C.F._____________</w:t>
      </w:r>
      <w:r w:rsidR="005A6014">
        <w:rPr>
          <w:rFonts w:ascii="Titillium Web" w:hAnsi="Titillium Web" w:cstheme="majorBidi"/>
        </w:rPr>
        <w:t>___, P.</w:t>
      </w:r>
      <w:r w:rsidRPr="00C94DF9">
        <w:rPr>
          <w:rFonts w:ascii="Titillium Web" w:hAnsi="Titillium Web" w:cstheme="majorBidi"/>
        </w:rPr>
        <w:t>IVA________________, E-mail ____________________, PEC __________________consapevole delle sanzioni penali previste in caso di dichiarazioni non veritiere e di falsità negli atti di cui all’art. 76 del D.P.R. 28 dicembre 2000, n. 445 e della conseguente decadenza dei benefici di cui all’art. 75 del citato decreto,</w:t>
      </w:r>
      <w:r w:rsidRPr="00C94DF9">
        <w:t xml:space="preserve"> </w:t>
      </w:r>
      <w:r w:rsidRPr="00C94DF9">
        <w:rPr>
          <w:rFonts w:ascii="Titillium Web" w:hAnsi="Titillium Web" w:cstheme="majorBidi"/>
        </w:rPr>
        <w:t>in virtù dei poteri conferitigli,</w:t>
      </w:r>
      <w:r>
        <w:rPr>
          <w:rFonts w:ascii="Titillium Web" w:hAnsi="Titillium Web" w:cstheme="majorBidi"/>
        </w:rPr>
        <w:t xml:space="preserve"> e i</w:t>
      </w:r>
      <w:r w:rsidR="004516D9" w:rsidRPr="00012A0A">
        <w:rPr>
          <w:rFonts w:ascii="Titillium Web" w:hAnsi="Titillium Web" w:cstheme="majorBidi"/>
          <w:color w:val="000000"/>
          <w:szCs w:val="24"/>
        </w:rPr>
        <w:t>n relazione al progetto candidato nell’ambito</w:t>
      </w:r>
      <w:r w:rsidR="00565A32">
        <w:rPr>
          <w:rFonts w:ascii="Titillium Web" w:hAnsi="Titillium Web" w:cstheme="majorBidi"/>
          <w:color w:val="000000"/>
          <w:szCs w:val="24"/>
        </w:rPr>
        <w:t xml:space="preserve"> dell’Azione </w:t>
      </w:r>
      <w:r w:rsidR="00565A32" w:rsidRPr="00565A32">
        <w:rPr>
          <w:rFonts w:ascii="Titillium Web" w:hAnsi="Titillium Web" w:cstheme="majorBidi"/>
          <w:color w:val="000000"/>
          <w:szCs w:val="24"/>
        </w:rPr>
        <w:t xml:space="preserve">2.6.1 </w:t>
      </w:r>
      <w:r w:rsidR="00565A32">
        <w:rPr>
          <w:rFonts w:ascii="Titillium Web" w:hAnsi="Titillium Web" w:cstheme="majorBidi"/>
          <w:color w:val="000000"/>
          <w:szCs w:val="24"/>
        </w:rPr>
        <w:t>“A</w:t>
      </w:r>
      <w:r w:rsidR="00565A32" w:rsidRPr="00565A32">
        <w:rPr>
          <w:rFonts w:ascii="Titillium Web" w:hAnsi="Titillium Web" w:cstheme="majorBidi"/>
          <w:color w:val="000000"/>
          <w:szCs w:val="24"/>
        </w:rPr>
        <w:t>zioni finalizzate alla prevenzione e riduzione dei rifiuti</w:t>
      </w:r>
      <w:r w:rsidR="00565A32">
        <w:rPr>
          <w:rFonts w:ascii="Titillium Web" w:hAnsi="Titillium Web" w:cstheme="majorBidi"/>
          <w:color w:val="000000"/>
          <w:szCs w:val="24"/>
        </w:rPr>
        <w:t>”</w:t>
      </w:r>
      <w:r w:rsidR="00D203A8">
        <w:rPr>
          <w:rFonts w:ascii="Titillium Web" w:hAnsi="Titillium Web" w:cstheme="majorBidi"/>
          <w:color w:val="000000"/>
          <w:szCs w:val="24"/>
        </w:rPr>
        <w:t xml:space="preserve"> </w:t>
      </w:r>
      <w:r w:rsidR="004516D9" w:rsidRPr="00012A0A">
        <w:rPr>
          <w:rFonts w:ascii="Titillium Web" w:hAnsi="Titillium Web" w:cstheme="majorBidi"/>
          <w:color w:val="000000"/>
          <w:szCs w:val="24"/>
        </w:rPr>
        <w:t xml:space="preserve">del PR </w:t>
      </w:r>
      <w:r w:rsidR="00565A32">
        <w:rPr>
          <w:rFonts w:ascii="Titillium Web" w:hAnsi="Titillium Web" w:cstheme="majorBidi"/>
          <w:color w:val="000000"/>
          <w:szCs w:val="24"/>
        </w:rPr>
        <w:t xml:space="preserve">Calabria </w:t>
      </w:r>
      <w:r w:rsidR="004516D9" w:rsidRPr="00012A0A">
        <w:rPr>
          <w:rFonts w:ascii="Titillium Web" w:hAnsi="Titillium Web" w:cstheme="majorBidi"/>
          <w:color w:val="000000"/>
          <w:szCs w:val="24"/>
        </w:rPr>
        <w:t>FESR</w:t>
      </w:r>
      <w:r w:rsidR="00565A32">
        <w:rPr>
          <w:rFonts w:ascii="Titillium Web" w:hAnsi="Titillium Web" w:cstheme="majorBidi"/>
          <w:color w:val="000000"/>
          <w:szCs w:val="24"/>
        </w:rPr>
        <w:t xml:space="preserve"> FSE+</w:t>
      </w:r>
      <w:r w:rsidR="004516D9" w:rsidRPr="00012A0A">
        <w:rPr>
          <w:rFonts w:ascii="Titillium Web" w:hAnsi="Titillium Web" w:cstheme="majorBidi"/>
          <w:color w:val="000000"/>
          <w:szCs w:val="24"/>
        </w:rPr>
        <w:t xml:space="preserve"> 2021-</w:t>
      </w:r>
      <w:r w:rsidR="00E32CC3">
        <w:rPr>
          <w:rFonts w:ascii="Titillium Web" w:hAnsi="Titillium Web" w:cstheme="majorBidi"/>
          <w:color w:val="000000"/>
          <w:szCs w:val="24"/>
        </w:rPr>
        <w:t>2027,</w:t>
      </w:r>
    </w:p>
    <w:p w14:paraId="692C120D" w14:textId="77777777" w:rsidR="004A46B9" w:rsidRPr="00012A0A" w:rsidRDefault="004A46B9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-1" w:firstLineChars="0" w:firstLine="0"/>
        <w:jc w:val="both"/>
        <w:rPr>
          <w:rFonts w:ascii="Titillium Web" w:hAnsi="Titillium Web" w:cstheme="majorBidi"/>
          <w:color w:val="000000"/>
          <w:szCs w:val="24"/>
          <w:highlight w:val="yellow"/>
        </w:rPr>
      </w:pPr>
    </w:p>
    <w:p w14:paraId="692C120F" w14:textId="68231001" w:rsidR="004A46B9" w:rsidRPr="00012A0A" w:rsidRDefault="004A46B9" w:rsidP="007124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540" w:right="-1" w:firstLineChars="0" w:firstLine="708"/>
        <w:jc w:val="both"/>
        <w:rPr>
          <w:rFonts w:ascii="Titillium Web" w:hAnsi="Titillium Web" w:cstheme="majorBidi"/>
          <w:b/>
          <w:color w:val="000000"/>
          <w:szCs w:val="24"/>
        </w:rPr>
      </w:pPr>
      <w:r w:rsidRPr="00012A0A">
        <w:rPr>
          <w:rFonts w:ascii="Titillium Web" w:hAnsi="Titillium Web" w:cstheme="majorBidi"/>
          <w:b/>
          <w:color w:val="000000"/>
          <w:szCs w:val="24"/>
        </w:rPr>
        <w:t>DICHIARA CHE</w:t>
      </w:r>
      <w:r w:rsidR="00CB502D" w:rsidRPr="00012A0A">
        <w:rPr>
          <w:rFonts w:ascii="Titillium Web" w:hAnsi="Titillium Web" w:cstheme="majorBidi"/>
          <w:b/>
          <w:color w:val="000000"/>
          <w:szCs w:val="24"/>
        </w:rPr>
        <w:t>:</w:t>
      </w:r>
    </w:p>
    <w:p w14:paraId="692C1210" w14:textId="77777777" w:rsidR="004A46B9" w:rsidRPr="00012A0A" w:rsidRDefault="004A46B9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rFonts w:ascii="Titillium Web" w:hAnsi="Titillium Web" w:cstheme="majorBidi"/>
          <w:color w:val="000000"/>
          <w:sz w:val="20"/>
        </w:rPr>
      </w:pPr>
      <w:r w:rsidRPr="00012A0A">
        <w:rPr>
          <w:rFonts w:ascii="Titillium Web" w:hAnsi="Titillium Web" w:cstheme="majorBidi"/>
          <w:color w:val="000000"/>
          <w:szCs w:val="24"/>
        </w:rPr>
        <w:t>l’operazione oggetto di finanziamento (scegliere una sola opzione):</w:t>
      </w:r>
    </w:p>
    <w:p w14:paraId="692C1211" w14:textId="77777777" w:rsidR="004A46B9" w:rsidRPr="00012A0A" w:rsidRDefault="004A46B9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1" w:firstLineChars="0" w:firstLine="0"/>
        <w:jc w:val="both"/>
        <w:rPr>
          <w:rFonts w:ascii="Titillium Web" w:hAnsi="Titillium Web" w:cstheme="majorBidi"/>
          <w:color w:val="000000"/>
          <w:szCs w:val="24"/>
        </w:rPr>
      </w:pPr>
    </w:p>
    <w:p w14:paraId="692C1212" w14:textId="77777777" w:rsidR="00C8629C" w:rsidRPr="00012A0A" w:rsidRDefault="00E55A47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1" w:firstLineChars="0" w:firstLine="0"/>
        <w:jc w:val="both"/>
        <w:rPr>
          <w:rFonts w:ascii="Titillium Web" w:hAnsi="Titillium Web" w:cstheme="majorBidi"/>
          <w:color w:val="000000"/>
          <w:szCs w:val="24"/>
          <w:u w:val="single"/>
        </w:rPr>
      </w:pPr>
      <w:r w:rsidRPr="00012A0A">
        <w:rPr>
          <w:rFonts w:ascii="Titillium Web" w:hAnsi="Titillium Web" w:cstheme="majorBidi"/>
          <w:color w:val="000000"/>
          <w:szCs w:val="24"/>
          <w:u w:val="single"/>
        </w:rPr>
        <w:t>Caso 1</w:t>
      </w:r>
    </w:p>
    <w:p w14:paraId="692C1213" w14:textId="77777777" w:rsidR="004A46B9" w:rsidRPr="00012A0A" w:rsidRDefault="009E322D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1" w:firstLineChars="0" w:firstLine="0"/>
        <w:jc w:val="both"/>
        <w:rPr>
          <w:rFonts w:ascii="Titillium Web" w:hAnsi="Titillium Web" w:cstheme="majorBidi"/>
          <w:color w:val="000000"/>
          <w:sz w:val="20"/>
        </w:rPr>
      </w:pPr>
      <w:sdt>
        <w:sdtPr>
          <w:rPr>
            <w:rFonts w:ascii="Titillium Web" w:hAnsi="Titillium Web" w:cstheme="majorBidi"/>
            <w:color w:val="000000"/>
            <w:szCs w:val="24"/>
          </w:rPr>
          <w:id w:val="-321887738"/>
        </w:sdtPr>
        <w:sdtEndPr/>
        <w:sdtContent>
          <w:r w:rsidR="004A46B9" w:rsidRPr="00012A0A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231BC1" w:rsidRPr="00012A0A">
        <w:rPr>
          <w:rFonts w:ascii="Titillium Web" w:hAnsi="Titillium Web" w:cstheme="majorBidi"/>
          <w:color w:val="000000"/>
          <w:szCs w:val="24"/>
        </w:rPr>
        <w:t xml:space="preserve"> </w:t>
      </w:r>
      <w:r w:rsidR="004A46B9" w:rsidRPr="00012A0A">
        <w:rPr>
          <w:rFonts w:ascii="Titillium Web" w:hAnsi="Titillium Web" w:cstheme="majorBidi"/>
          <w:color w:val="000000"/>
          <w:szCs w:val="24"/>
        </w:rPr>
        <w:t xml:space="preserve">è un intervento assoggettato a </w:t>
      </w:r>
      <w:r w:rsidR="004A46B9" w:rsidRPr="00012A0A">
        <w:rPr>
          <w:rFonts w:ascii="Titillium Web" w:hAnsi="Titillium Web" w:cstheme="majorBidi"/>
          <w:b/>
          <w:color w:val="000000"/>
          <w:szCs w:val="24"/>
        </w:rPr>
        <w:t>procedura di valutazione di impatto ambientale (screening/VIA)</w:t>
      </w:r>
      <w:r w:rsidR="004A46B9" w:rsidRPr="00012A0A">
        <w:rPr>
          <w:rFonts w:ascii="Titillium Web" w:hAnsi="Titillium Web" w:cstheme="majorBidi"/>
          <w:color w:val="000000"/>
          <w:szCs w:val="24"/>
        </w:rPr>
        <w:t xml:space="preserve"> ai sensi della normativa vigente.</w:t>
      </w:r>
    </w:p>
    <w:p w14:paraId="692C1216" w14:textId="35820614" w:rsidR="00C8629C" w:rsidRPr="00012A0A" w:rsidRDefault="00E55A47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rFonts w:ascii="Titillium Web" w:hAnsi="Titillium Web" w:cstheme="majorBidi"/>
          <w:color w:val="000000"/>
          <w:szCs w:val="24"/>
          <w:u w:val="single"/>
        </w:rPr>
      </w:pPr>
      <w:r w:rsidRPr="00012A0A">
        <w:rPr>
          <w:rFonts w:ascii="Titillium Web" w:hAnsi="Titillium Web" w:cstheme="majorBidi"/>
          <w:color w:val="000000"/>
          <w:szCs w:val="24"/>
          <w:u w:val="single"/>
        </w:rPr>
        <w:t>Caso</w:t>
      </w:r>
      <w:r w:rsidR="00BA7755" w:rsidRPr="00012A0A">
        <w:rPr>
          <w:rFonts w:ascii="Titillium Web" w:hAnsi="Titillium Web" w:cstheme="majorBidi"/>
          <w:color w:val="000000"/>
          <w:szCs w:val="24"/>
          <w:u w:val="single"/>
        </w:rPr>
        <w:t xml:space="preserve"> 2</w:t>
      </w:r>
    </w:p>
    <w:p w14:paraId="692C1218" w14:textId="3CD70854" w:rsidR="004A18B2" w:rsidRPr="00012A0A" w:rsidRDefault="009E322D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rFonts w:ascii="Titillium Web" w:hAnsi="Titillium Web" w:cstheme="majorBidi"/>
        </w:rPr>
      </w:pPr>
      <w:sdt>
        <w:sdtPr>
          <w:rPr>
            <w:rFonts w:ascii="Titillium Web" w:hAnsi="Titillium Web" w:cstheme="majorBidi"/>
            <w:color w:val="000000"/>
            <w:szCs w:val="24"/>
          </w:rPr>
          <w:id w:val="-1575356758"/>
        </w:sdtPr>
        <w:sdtEndPr/>
        <w:sdtContent>
          <w:r w:rsidR="004A46B9" w:rsidRPr="00012A0A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231BC1" w:rsidRPr="00012A0A">
        <w:rPr>
          <w:rFonts w:ascii="Titillium Web" w:hAnsi="Titillium Web" w:cstheme="majorBidi"/>
          <w:color w:val="000000"/>
          <w:szCs w:val="24"/>
        </w:rPr>
        <w:t xml:space="preserve"> </w:t>
      </w:r>
      <w:r w:rsidR="00A14EF3" w:rsidRPr="00012A0A">
        <w:rPr>
          <w:rFonts w:ascii="Titillium Web" w:hAnsi="Titillium Web" w:cstheme="majorBidi"/>
        </w:rPr>
        <w:t xml:space="preserve">ha livelli di vulnerabilità </w:t>
      </w:r>
      <w:r w:rsidR="00BA7755" w:rsidRPr="00012A0A">
        <w:rPr>
          <w:rFonts w:ascii="Titillium Web" w:hAnsi="Titillium Web" w:cstheme="majorBidi"/>
        </w:rPr>
        <w:t>bassi, pertanto,</w:t>
      </w:r>
      <w:r w:rsidR="00A14EF3" w:rsidRPr="00012A0A">
        <w:rPr>
          <w:rFonts w:ascii="Titillium Web" w:hAnsi="Titillium Web" w:cstheme="majorBidi"/>
        </w:rPr>
        <w:t xml:space="preserve"> non risulta necessario procedere con la successiva fase di “analisi dettagliata” prevista dalla Comunicazione della Commissione Europea “Orientamenti tecnici per infrastrutture a prova di clima nel periodo 2021-2027” (2021/C 373/01);</w:t>
      </w:r>
    </w:p>
    <w:p w14:paraId="61BD0559" w14:textId="583008C0" w:rsidR="00A14EF3" w:rsidRPr="00012A0A" w:rsidRDefault="00A14EF3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rFonts w:ascii="Titillium Web" w:hAnsi="Titillium Web" w:cstheme="majorBidi"/>
          <w:color w:val="000000"/>
          <w:szCs w:val="24"/>
          <w:u w:val="single"/>
        </w:rPr>
      </w:pPr>
      <w:r w:rsidRPr="00012A0A">
        <w:rPr>
          <w:rFonts w:ascii="Titillium Web" w:hAnsi="Titillium Web" w:cstheme="majorBidi"/>
          <w:color w:val="000000"/>
          <w:szCs w:val="24"/>
          <w:u w:val="single"/>
        </w:rPr>
        <w:t>Caso</w:t>
      </w:r>
      <w:r w:rsidR="00BA7755" w:rsidRPr="00012A0A">
        <w:rPr>
          <w:rFonts w:ascii="Titillium Web" w:hAnsi="Titillium Web" w:cstheme="majorBidi"/>
          <w:color w:val="000000"/>
          <w:szCs w:val="24"/>
          <w:u w:val="single"/>
        </w:rPr>
        <w:t xml:space="preserve"> </w:t>
      </w:r>
      <w:r w:rsidRPr="00012A0A">
        <w:rPr>
          <w:rFonts w:ascii="Titillium Web" w:hAnsi="Titillium Web" w:cstheme="majorBidi"/>
          <w:color w:val="000000"/>
          <w:szCs w:val="24"/>
          <w:u w:val="single"/>
        </w:rPr>
        <w:t>3</w:t>
      </w:r>
    </w:p>
    <w:p w14:paraId="692C1220" w14:textId="07F7CD42" w:rsidR="004A46B9" w:rsidRDefault="009E322D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rFonts w:ascii="Titillium Web" w:hAnsi="Titillium Web" w:cstheme="majorBidi"/>
        </w:rPr>
      </w:pPr>
      <w:sdt>
        <w:sdtPr>
          <w:rPr>
            <w:rFonts w:ascii="Titillium Web" w:hAnsi="Titillium Web" w:cstheme="majorBidi"/>
            <w:color w:val="000000"/>
            <w:szCs w:val="24"/>
          </w:rPr>
          <w:id w:val="1155957378"/>
        </w:sdtPr>
        <w:sdtEndPr/>
        <w:sdtContent>
          <w:r w:rsidR="00A14EF3" w:rsidRPr="00012A0A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A14EF3" w:rsidRPr="00012A0A">
        <w:rPr>
          <w:rFonts w:ascii="Titillium Web" w:hAnsi="Titillium Web" w:cstheme="majorBidi"/>
          <w:b/>
          <w:color w:val="000000"/>
          <w:szCs w:val="24"/>
        </w:rPr>
        <w:t xml:space="preserve"> </w:t>
      </w:r>
      <w:r w:rsidR="00A14EF3" w:rsidRPr="00012A0A">
        <w:rPr>
          <w:rFonts w:ascii="Titillium Web" w:hAnsi="Titillium Web" w:cstheme="majorBidi"/>
        </w:rPr>
        <w:t xml:space="preserve">ha livelli di vulnerabilità medio/alto pertanto risulta necessario procedere con la successiva fase 2 di “analisi dettagliata” prevista dal par. 3.3 della Comunicazione della Commissione Europea “Orientamenti tecnici per infrastrutture a prova di clima nel periodo 2021- 2027” (2021/C 373/01). Si allega documento esplicativo dell’analisi della vulnerabilità effettuata (sia per il caso </w:t>
      </w:r>
      <w:r w:rsidR="00BA7755" w:rsidRPr="00012A0A">
        <w:rPr>
          <w:rFonts w:ascii="Titillium Web" w:hAnsi="Titillium Web" w:cstheme="majorBidi"/>
        </w:rPr>
        <w:t>2</w:t>
      </w:r>
      <w:r w:rsidR="00A14EF3" w:rsidRPr="00012A0A">
        <w:rPr>
          <w:rFonts w:ascii="Titillium Web" w:hAnsi="Titillium Web" w:cstheme="majorBidi"/>
        </w:rPr>
        <w:t xml:space="preserve"> che il caso </w:t>
      </w:r>
      <w:r w:rsidR="00BA7755" w:rsidRPr="00012A0A">
        <w:rPr>
          <w:rFonts w:ascii="Titillium Web" w:hAnsi="Titillium Web" w:cstheme="majorBidi"/>
        </w:rPr>
        <w:t>3</w:t>
      </w:r>
      <w:r w:rsidR="00A14EF3" w:rsidRPr="00012A0A">
        <w:rPr>
          <w:rFonts w:ascii="Titillium Web" w:hAnsi="Titillium Web" w:cstheme="majorBidi"/>
        </w:rPr>
        <w:t xml:space="preserve">). </w:t>
      </w:r>
    </w:p>
    <w:p w14:paraId="488A122D" w14:textId="77777777" w:rsidR="00E705C4" w:rsidRPr="00012A0A" w:rsidRDefault="00E705C4" w:rsidP="00A14E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rFonts w:ascii="Titillium Web" w:hAnsi="Titillium Web" w:cstheme="majorBidi"/>
          <w:b/>
          <w:color w:val="000000"/>
          <w:szCs w:val="24"/>
        </w:rPr>
      </w:pPr>
    </w:p>
    <w:bookmarkEnd w:id="0"/>
    <w:p w14:paraId="41669955" w14:textId="77777777" w:rsidR="00E705C4" w:rsidRDefault="00E705C4" w:rsidP="00E705C4">
      <w:pPr>
        <w:ind w:left="0" w:hanging="2"/>
        <w:jc w:val="both"/>
        <w:rPr>
          <w:rFonts w:ascii="Titillium Web" w:eastAsia="Cambria" w:hAnsi="Titillium Web" w:cs="Times New Roman"/>
          <w:b/>
          <w:i/>
          <w:position w:val="0"/>
          <w:sz w:val="22"/>
          <w:szCs w:val="22"/>
          <w:lang w:eastAsia="en-US"/>
        </w:rPr>
      </w:pPr>
      <w:r>
        <w:rPr>
          <w:rFonts w:ascii="Titillium Web" w:hAnsi="Titillium Web" w:cs="Times New Roman"/>
          <w:b/>
          <w:i/>
          <w:sz w:val="22"/>
          <w:szCs w:val="22"/>
        </w:rPr>
        <w:t>Luogo e data</w:t>
      </w:r>
    </w:p>
    <w:p w14:paraId="18153610" w14:textId="77777777" w:rsidR="00E705C4" w:rsidRDefault="00E705C4" w:rsidP="00E705C4">
      <w:pPr>
        <w:ind w:leftChars="0" w:left="5664" w:firstLineChars="0" w:firstLine="708"/>
        <w:jc w:val="center"/>
        <w:rPr>
          <w:rFonts w:ascii="Titillium Web" w:hAnsi="Titillium Web" w:cs="Times New Roman"/>
          <w:b/>
          <w:i/>
          <w:sz w:val="22"/>
          <w:szCs w:val="22"/>
        </w:rPr>
      </w:pPr>
      <w:r>
        <w:rPr>
          <w:rFonts w:ascii="Titillium Web" w:hAnsi="Titillium Web" w:cs="Times New Roman"/>
          <w:b/>
          <w:i/>
          <w:sz w:val="22"/>
          <w:szCs w:val="22"/>
        </w:rPr>
        <w:t>Firma</w:t>
      </w:r>
    </w:p>
    <w:p w14:paraId="00C7B1AC" w14:textId="77777777" w:rsidR="00E705C4" w:rsidRDefault="00E705C4" w:rsidP="00E705C4">
      <w:pPr>
        <w:ind w:left="0" w:hanging="2"/>
        <w:jc w:val="right"/>
        <w:rPr>
          <w:rFonts w:ascii="Titillium Web" w:hAnsi="Titillium Web" w:cs="Times New Roman"/>
          <w:b/>
          <w:i/>
          <w:sz w:val="22"/>
          <w:szCs w:val="22"/>
        </w:rPr>
      </w:pPr>
      <w:r>
        <w:rPr>
          <w:rFonts w:ascii="Titillium Web" w:hAnsi="Titillium Web" w:cs="Times New Roman"/>
          <w:b/>
          <w:i/>
          <w:sz w:val="22"/>
          <w:szCs w:val="22"/>
        </w:rPr>
        <w:t xml:space="preserve"> (documento firmato digitalmente)</w:t>
      </w:r>
    </w:p>
    <w:p w14:paraId="692C1224" w14:textId="4369802A" w:rsidR="004A46B9" w:rsidRPr="00012A0A" w:rsidRDefault="004A46B9" w:rsidP="00E705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269" w:firstLineChars="0" w:firstLine="0"/>
        <w:jc w:val="both"/>
        <w:rPr>
          <w:rFonts w:ascii="Titillium Web" w:hAnsi="Titillium Web" w:cstheme="majorBidi"/>
        </w:rPr>
      </w:pPr>
    </w:p>
    <w:sectPr w:rsidR="004A46B9" w:rsidRPr="00012A0A" w:rsidSect="00012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C04AD" w14:textId="77777777" w:rsidR="009E322D" w:rsidRDefault="009E322D" w:rsidP="00394D79">
      <w:pPr>
        <w:spacing w:line="240" w:lineRule="auto"/>
        <w:ind w:left="0" w:hanging="2"/>
      </w:pPr>
      <w:r>
        <w:separator/>
      </w:r>
    </w:p>
  </w:endnote>
  <w:endnote w:type="continuationSeparator" w:id="0">
    <w:p w14:paraId="5A3D80B5" w14:textId="77777777" w:rsidR="009E322D" w:rsidRDefault="009E322D" w:rsidP="00394D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3D0E5" w14:textId="77777777" w:rsidR="00394D79" w:rsidRDefault="00394D7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B14E" w14:textId="77777777" w:rsidR="00394D79" w:rsidRDefault="00394D79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81167" w14:textId="77777777" w:rsidR="00394D79" w:rsidRDefault="00394D7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B6ABE" w14:textId="77777777" w:rsidR="009E322D" w:rsidRDefault="009E322D" w:rsidP="00394D79">
      <w:pPr>
        <w:spacing w:line="240" w:lineRule="auto"/>
        <w:ind w:left="0" w:hanging="2"/>
      </w:pPr>
      <w:r>
        <w:separator/>
      </w:r>
    </w:p>
  </w:footnote>
  <w:footnote w:type="continuationSeparator" w:id="0">
    <w:p w14:paraId="6DAE0BB2" w14:textId="77777777" w:rsidR="009E322D" w:rsidRDefault="009E322D" w:rsidP="00394D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3A7ED" w14:textId="77777777" w:rsidR="00394D79" w:rsidRDefault="00394D7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D859" w14:textId="2FED617B" w:rsidR="00394D79" w:rsidRDefault="00394D79">
    <w:pPr>
      <w:pStyle w:val="Intestazione"/>
      <w:ind w:left="0" w:hanging="2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39A98CE8" wp14:editId="0F8B61D8">
          <wp:simplePos x="0" y="0"/>
          <wp:positionH relativeFrom="margin">
            <wp:posOffset>46355</wp:posOffset>
          </wp:positionH>
          <wp:positionV relativeFrom="paragraph">
            <wp:posOffset>-111061</wp:posOffset>
          </wp:positionV>
          <wp:extent cx="6479540" cy="631825"/>
          <wp:effectExtent l="0" t="0" r="0" b="0"/>
          <wp:wrapSquare wrapText="bothSides"/>
          <wp:docPr id="1" name="Immagine 1" descr="Immagine che contiene testo, schermat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magine 43" descr="Immagine che contiene testo, schermat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28A5" w14:textId="77777777" w:rsidR="00394D79" w:rsidRDefault="00394D7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015"/>
    <w:multiLevelType w:val="multilevel"/>
    <w:tmpl w:val="87A44712"/>
    <w:lvl w:ilvl="0">
      <w:start w:val="1"/>
      <w:numFmt w:val="bullet"/>
      <w:lvlText w:val="●"/>
      <w:lvlJc w:val="left"/>
      <w:pPr>
        <w:ind w:left="25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0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7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6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3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E8758D"/>
    <w:multiLevelType w:val="hybridMultilevel"/>
    <w:tmpl w:val="CEB4709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2B28AF"/>
    <w:multiLevelType w:val="multilevel"/>
    <w:tmpl w:val="DF2A0EDA"/>
    <w:lvl w:ilvl="0">
      <w:numFmt w:val="bullet"/>
      <w:lvlText w:val="o"/>
      <w:lvlJc w:val="left"/>
      <w:pPr>
        <w:ind w:left="1272" w:hanging="360"/>
      </w:pPr>
      <w:rPr>
        <w:rFonts w:ascii="Courier New" w:eastAsia="Courier New" w:hAnsi="Courier New" w:cs="Courier New"/>
        <w:b w:val="0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6E20EE3"/>
    <w:multiLevelType w:val="multilevel"/>
    <w:tmpl w:val="AC826BE4"/>
    <w:lvl w:ilvl="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"/>
      <w:lvlJc w:val="left"/>
      <w:pPr>
        <w:ind w:left="145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7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9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1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3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5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7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90" w:hanging="360"/>
      </w:pPr>
      <w:rPr>
        <w:rFonts w:ascii="Wingdings" w:hAnsi="Wingdings" w:cs="Wingdings" w:hint="default"/>
        <w:u w:val="none"/>
      </w:rPr>
    </w:lvl>
  </w:abstractNum>
  <w:abstractNum w:abstractNumId="4" w15:restartNumberingAfterBreak="0">
    <w:nsid w:val="6EBB4CC5"/>
    <w:multiLevelType w:val="hybridMultilevel"/>
    <w:tmpl w:val="6678794A"/>
    <w:lvl w:ilvl="0" w:tplc="DA081DD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71202040"/>
    <w:multiLevelType w:val="multilevel"/>
    <w:tmpl w:val="D94CF2B0"/>
    <w:lvl w:ilvl="0">
      <w:numFmt w:val="bullet"/>
      <w:lvlText w:val="o"/>
      <w:lvlJc w:val="left"/>
      <w:pPr>
        <w:ind w:left="1272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D212D8F"/>
    <w:multiLevelType w:val="hybridMultilevel"/>
    <w:tmpl w:val="1754778A"/>
    <w:lvl w:ilvl="0" w:tplc="EAD6C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B9"/>
    <w:rsid w:val="00012A0A"/>
    <w:rsid w:val="000248CB"/>
    <w:rsid w:val="0006179C"/>
    <w:rsid w:val="000B2356"/>
    <w:rsid w:val="000B79FC"/>
    <w:rsid w:val="00106042"/>
    <w:rsid w:val="001208E6"/>
    <w:rsid w:val="00120CFA"/>
    <w:rsid w:val="00133662"/>
    <w:rsid w:val="001659AF"/>
    <w:rsid w:val="00165C35"/>
    <w:rsid w:val="00184361"/>
    <w:rsid w:val="001B05C8"/>
    <w:rsid w:val="001C235A"/>
    <w:rsid w:val="001E1DFA"/>
    <w:rsid w:val="00204A89"/>
    <w:rsid w:val="00231BC1"/>
    <w:rsid w:val="0024202E"/>
    <w:rsid w:val="00242ED8"/>
    <w:rsid w:val="002561F1"/>
    <w:rsid w:val="00294991"/>
    <w:rsid w:val="00294D36"/>
    <w:rsid w:val="002E3FB5"/>
    <w:rsid w:val="002E4FCE"/>
    <w:rsid w:val="002E6B9E"/>
    <w:rsid w:val="003046A9"/>
    <w:rsid w:val="0031423D"/>
    <w:rsid w:val="003217BB"/>
    <w:rsid w:val="00351636"/>
    <w:rsid w:val="003672A5"/>
    <w:rsid w:val="00371D12"/>
    <w:rsid w:val="00376886"/>
    <w:rsid w:val="00384E80"/>
    <w:rsid w:val="00394D79"/>
    <w:rsid w:val="00397B52"/>
    <w:rsid w:val="003C5060"/>
    <w:rsid w:val="003E4167"/>
    <w:rsid w:val="003E55D5"/>
    <w:rsid w:val="00432EF1"/>
    <w:rsid w:val="00447C55"/>
    <w:rsid w:val="004516D9"/>
    <w:rsid w:val="0047130C"/>
    <w:rsid w:val="00493C89"/>
    <w:rsid w:val="004A18B2"/>
    <w:rsid w:val="004A2ED0"/>
    <w:rsid w:val="004A46B9"/>
    <w:rsid w:val="004C14C2"/>
    <w:rsid w:val="004E738D"/>
    <w:rsid w:val="004F2750"/>
    <w:rsid w:val="00504F56"/>
    <w:rsid w:val="005273F5"/>
    <w:rsid w:val="00540766"/>
    <w:rsid w:val="00544892"/>
    <w:rsid w:val="005471F5"/>
    <w:rsid w:val="00551179"/>
    <w:rsid w:val="00565A32"/>
    <w:rsid w:val="00565D47"/>
    <w:rsid w:val="00585C59"/>
    <w:rsid w:val="005A08B5"/>
    <w:rsid w:val="005A1DC4"/>
    <w:rsid w:val="005A6014"/>
    <w:rsid w:val="005B3A9F"/>
    <w:rsid w:val="005B49E3"/>
    <w:rsid w:val="005B608A"/>
    <w:rsid w:val="005B62D0"/>
    <w:rsid w:val="005C7349"/>
    <w:rsid w:val="005E39A0"/>
    <w:rsid w:val="005F77A5"/>
    <w:rsid w:val="00612B52"/>
    <w:rsid w:val="00622B6F"/>
    <w:rsid w:val="0063461B"/>
    <w:rsid w:val="00646118"/>
    <w:rsid w:val="0068498C"/>
    <w:rsid w:val="0068635C"/>
    <w:rsid w:val="00695590"/>
    <w:rsid w:val="006978E0"/>
    <w:rsid w:val="00697DDA"/>
    <w:rsid w:val="006B2E1E"/>
    <w:rsid w:val="006B3E81"/>
    <w:rsid w:val="006C3752"/>
    <w:rsid w:val="006E4A16"/>
    <w:rsid w:val="006F34F1"/>
    <w:rsid w:val="00712476"/>
    <w:rsid w:val="0071627F"/>
    <w:rsid w:val="00717C5A"/>
    <w:rsid w:val="00721E94"/>
    <w:rsid w:val="0072538D"/>
    <w:rsid w:val="00742710"/>
    <w:rsid w:val="00767F2C"/>
    <w:rsid w:val="00794FC9"/>
    <w:rsid w:val="007A660B"/>
    <w:rsid w:val="007B5F4A"/>
    <w:rsid w:val="007E2914"/>
    <w:rsid w:val="007E77FE"/>
    <w:rsid w:val="00812093"/>
    <w:rsid w:val="00832FB7"/>
    <w:rsid w:val="00841E84"/>
    <w:rsid w:val="0086424D"/>
    <w:rsid w:val="00883E14"/>
    <w:rsid w:val="008B5EDC"/>
    <w:rsid w:val="008C529D"/>
    <w:rsid w:val="008F2BE1"/>
    <w:rsid w:val="008F712A"/>
    <w:rsid w:val="009151DF"/>
    <w:rsid w:val="00921385"/>
    <w:rsid w:val="00927299"/>
    <w:rsid w:val="00936595"/>
    <w:rsid w:val="00961842"/>
    <w:rsid w:val="00965084"/>
    <w:rsid w:val="009724A9"/>
    <w:rsid w:val="00994288"/>
    <w:rsid w:val="009D45CC"/>
    <w:rsid w:val="009E322D"/>
    <w:rsid w:val="009F641D"/>
    <w:rsid w:val="00A117EC"/>
    <w:rsid w:val="00A126A2"/>
    <w:rsid w:val="00A14EF3"/>
    <w:rsid w:val="00A15CD2"/>
    <w:rsid w:val="00A42078"/>
    <w:rsid w:val="00A43F32"/>
    <w:rsid w:val="00A91021"/>
    <w:rsid w:val="00AD135B"/>
    <w:rsid w:val="00AD2351"/>
    <w:rsid w:val="00AE5B8F"/>
    <w:rsid w:val="00AF10F2"/>
    <w:rsid w:val="00B1439B"/>
    <w:rsid w:val="00B17A6B"/>
    <w:rsid w:val="00B30D98"/>
    <w:rsid w:val="00B42366"/>
    <w:rsid w:val="00B511E8"/>
    <w:rsid w:val="00B5362B"/>
    <w:rsid w:val="00B90254"/>
    <w:rsid w:val="00BA7755"/>
    <w:rsid w:val="00BC58F2"/>
    <w:rsid w:val="00BD2D60"/>
    <w:rsid w:val="00BD4952"/>
    <w:rsid w:val="00BE2702"/>
    <w:rsid w:val="00BE2813"/>
    <w:rsid w:val="00BE5E58"/>
    <w:rsid w:val="00BE5F72"/>
    <w:rsid w:val="00C8629C"/>
    <w:rsid w:val="00C90CDA"/>
    <w:rsid w:val="00C94DF9"/>
    <w:rsid w:val="00C94E0C"/>
    <w:rsid w:val="00C96036"/>
    <w:rsid w:val="00CB502D"/>
    <w:rsid w:val="00CD3AF9"/>
    <w:rsid w:val="00CE4165"/>
    <w:rsid w:val="00CE61E4"/>
    <w:rsid w:val="00D00D21"/>
    <w:rsid w:val="00D203A8"/>
    <w:rsid w:val="00D5109D"/>
    <w:rsid w:val="00D86AF4"/>
    <w:rsid w:val="00D91117"/>
    <w:rsid w:val="00D961C6"/>
    <w:rsid w:val="00DA6AB9"/>
    <w:rsid w:val="00DA7F9A"/>
    <w:rsid w:val="00DF231E"/>
    <w:rsid w:val="00E14192"/>
    <w:rsid w:val="00E32CC3"/>
    <w:rsid w:val="00E330EF"/>
    <w:rsid w:val="00E367BB"/>
    <w:rsid w:val="00E55A47"/>
    <w:rsid w:val="00E705C4"/>
    <w:rsid w:val="00E725E6"/>
    <w:rsid w:val="00E87257"/>
    <w:rsid w:val="00EA4243"/>
    <w:rsid w:val="00EA5891"/>
    <w:rsid w:val="00EB5B42"/>
    <w:rsid w:val="00ED3E05"/>
    <w:rsid w:val="00EE23A8"/>
    <w:rsid w:val="00F431B8"/>
    <w:rsid w:val="00F8766A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C1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6B9"/>
    <w:pPr>
      <w:suppressAutoHyphens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Theme="majorHAnsi" w:eastAsiaTheme="majorEastAsia" w:hAnsiTheme="majorHAnsi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35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356"/>
    <w:rPr>
      <w:rFonts w:asciiTheme="majorHAnsi" w:eastAsiaTheme="majorEastAsia" w:hAnsiTheme="majorHAnsi" w:cstheme="majorBidi"/>
      <w:sz w:val="26"/>
      <w:szCs w:val="26"/>
    </w:rPr>
  </w:style>
  <w:style w:type="paragraph" w:customStyle="1" w:styleId="LO-normal">
    <w:name w:val="LO-normal"/>
    <w:qFormat/>
    <w:rsid w:val="004A46B9"/>
    <w:pPr>
      <w:spacing w:before="400" w:after="120" w:line="276" w:lineRule="auto"/>
    </w:pPr>
    <w:rPr>
      <w:rFonts w:ascii="Tahoma" w:eastAsia="Tahoma" w:hAnsi="Tahoma" w:cs="Tahoma"/>
      <w:sz w:val="24"/>
      <w:szCs w:val="24"/>
      <w:lang w:eastAsia="zh-CN" w:bidi="hi-IN"/>
    </w:rPr>
  </w:style>
  <w:style w:type="table" w:customStyle="1" w:styleId="TableNormal1">
    <w:name w:val="Table Normal1"/>
    <w:rsid w:val="006B2E1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253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538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51D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0EF"/>
    <w:rPr>
      <w:rFonts w:ascii="Tahoma" w:eastAsia="Calibri" w:hAnsi="Tahoma" w:cs="Tahoma"/>
      <w:position w:val="-1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94D7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D79"/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94D7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D79"/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customStyle="1" w:styleId="Default">
    <w:name w:val="Default"/>
    <w:rsid w:val="00294D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4D36"/>
    <w:pPr>
      <w:pBdr>
        <w:bottom w:val="thinThickSmallGap" w:sz="12" w:space="4" w:color="3B3838" w:themeColor="background2" w:themeShade="40"/>
      </w:pBdr>
      <w:suppressAutoHyphens w:val="0"/>
      <w:autoSpaceDN/>
      <w:spacing w:after="30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eastAsiaTheme="majorEastAsia" w:cstheme="majorBidi"/>
      <w:color w:val="1F4E79" w:themeColor="accent5" w:themeShade="80"/>
      <w:spacing w:val="5"/>
      <w:kern w:val="28"/>
      <w:position w:val="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94D36"/>
    <w:rPr>
      <w:rFonts w:ascii="Calibri" w:eastAsiaTheme="majorEastAsia" w:hAnsi="Calibri" w:cstheme="majorBidi"/>
      <w:color w:val="1F4E79" w:themeColor="accent5" w:themeShade="8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AB50-0166-44AC-B051-448ABBE1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2025-09-30T11:07:00Z</dcterms:created>
  <dcterms:modified xsi:type="dcterms:W3CDTF">2025-09-30T11:07:00Z</dcterms:modified>
</cp:coreProperties>
</file>